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4ED0" w14:textId="229A1D20" w:rsidR="004D7397" w:rsidRDefault="005017CF" w:rsidP="005017CF">
      <w:pPr>
        <w:tabs>
          <w:tab w:val="left" w:pos="2055"/>
        </w:tabs>
        <w:spacing w:before="48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14:paraId="70B84DC3" w14:textId="7B463BD0" w:rsidR="004D7397" w:rsidRDefault="003A517E" w:rsidP="003A517E">
      <w:pPr>
        <w:tabs>
          <w:tab w:val="left" w:pos="3330"/>
        </w:tabs>
        <w:spacing w:before="48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14:paraId="1808A24F" w14:textId="77777777" w:rsidR="00A74952" w:rsidRDefault="00A74952" w:rsidP="00A74952">
      <w:pPr>
        <w:spacing w:before="480"/>
        <w:rPr>
          <w:rFonts w:ascii="Times New Roman" w:hAnsi="Times New Roman"/>
          <w:b/>
          <w:iCs/>
          <w:sz w:val="28"/>
          <w:szCs w:val="28"/>
        </w:rPr>
      </w:pPr>
    </w:p>
    <w:p w14:paraId="1E47605B" w14:textId="77777777" w:rsidR="00A74952" w:rsidRDefault="00A74952" w:rsidP="00A74952">
      <w:pPr>
        <w:spacing w:before="480"/>
        <w:rPr>
          <w:rFonts w:ascii="Times New Roman" w:hAnsi="Times New Roman"/>
          <w:b/>
          <w:iCs/>
          <w:sz w:val="28"/>
          <w:szCs w:val="28"/>
        </w:rPr>
      </w:pPr>
    </w:p>
    <w:p w14:paraId="53D2FA4B" w14:textId="77777777" w:rsidR="00CD644D" w:rsidRDefault="00CD644D" w:rsidP="004D7397">
      <w:pPr>
        <w:spacing w:before="48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7E71B26" w14:textId="77777777" w:rsidR="00A74952" w:rsidRDefault="00A74952" w:rsidP="004D7397">
      <w:pPr>
        <w:spacing w:before="48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FAD762B" w14:textId="77777777" w:rsidR="00A74952" w:rsidRDefault="00A74952" w:rsidP="004D7397">
      <w:pPr>
        <w:spacing w:before="48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C9B0247" w14:textId="77777777" w:rsidR="00A74952" w:rsidRDefault="00A74952" w:rsidP="004D7397">
      <w:pPr>
        <w:spacing w:before="48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6956804" w14:textId="19B3735E" w:rsidR="00A74952" w:rsidRDefault="00A74952" w:rsidP="00CD644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74952">
        <w:rPr>
          <w:rFonts w:ascii="Times New Roman" w:hAnsi="Times New Roman"/>
          <w:b/>
          <w:iCs/>
          <w:sz w:val="28"/>
          <w:szCs w:val="28"/>
        </w:rPr>
        <w:t>ÉRD HIVATÁSOS TŰZOLTÓ</w:t>
      </w:r>
      <w:r w:rsidR="005E11E3">
        <w:rPr>
          <w:rFonts w:ascii="Times New Roman" w:hAnsi="Times New Roman"/>
          <w:b/>
          <w:iCs/>
          <w:sz w:val="28"/>
          <w:szCs w:val="28"/>
        </w:rPr>
        <w:t>-</w:t>
      </w:r>
      <w:r w:rsidRPr="00A74952">
        <w:rPr>
          <w:rFonts w:ascii="Times New Roman" w:hAnsi="Times New Roman"/>
          <w:b/>
          <w:iCs/>
          <w:sz w:val="28"/>
          <w:szCs w:val="28"/>
        </w:rPr>
        <w:t xml:space="preserve">PARANCSNOKSÁG </w:t>
      </w:r>
      <w:r w:rsidR="00A5653E">
        <w:rPr>
          <w:rFonts w:ascii="Times New Roman" w:hAnsi="Times New Roman"/>
          <w:b/>
          <w:iCs/>
          <w:sz w:val="28"/>
          <w:szCs w:val="28"/>
        </w:rPr>
        <w:t>BESZÁMOLÓJA</w:t>
      </w:r>
    </w:p>
    <w:p w14:paraId="3BF181D4" w14:textId="489297A2" w:rsidR="00A74952" w:rsidRDefault="00A74952" w:rsidP="00CD644D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74952">
        <w:rPr>
          <w:rFonts w:ascii="Times New Roman" w:hAnsi="Times New Roman"/>
          <w:b/>
          <w:iCs/>
          <w:sz w:val="28"/>
          <w:szCs w:val="28"/>
        </w:rPr>
        <w:t>TELEPÜLÉSI ÖNKORMÁNYZAT</w:t>
      </w:r>
      <w:r w:rsidR="003A517E">
        <w:rPr>
          <w:rFonts w:ascii="Times New Roman" w:hAnsi="Times New Roman"/>
          <w:b/>
          <w:iCs/>
          <w:sz w:val="28"/>
          <w:szCs w:val="28"/>
        </w:rPr>
        <w:t>OK</w:t>
      </w:r>
      <w:r w:rsidRPr="00A7495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A517E">
        <w:rPr>
          <w:rFonts w:ascii="Times New Roman" w:hAnsi="Times New Roman"/>
          <w:b/>
          <w:iCs/>
          <w:sz w:val="28"/>
          <w:szCs w:val="28"/>
        </w:rPr>
        <w:t xml:space="preserve">RÉSZÉRE </w:t>
      </w:r>
    </w:p>
    <w:p w14:paraId="3099B787" w14:textId="4AD8D315" w:rsidR="004D7397" w:rsidRDefault="003A6BBE" w:rsidP="00CD64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E66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ÉVES </w:t>
      </w:r>
      <w:r w:rsidR="003A517E">
        <w:rPr>
          <w:rFonts w:ascii="Times New Roman" w:hAnsi="Times New Roman"/>
          <w:b/>
          <w:sz w:val="28"/>
          <w:szCs w:val="28"/>
        </w:rPr>
        <w:t xml:space="preserve">TŰZVÉDELMI </w:t>
      </w:r>
      <w:r>
        <w:rPr>
          <w:rFonts w:ascii="Times New Roman" w:hAnsi="Times New Roman"/>
          <w:b/>
          <w:sz w:val="28"/>
          <w:szCs w:val="28"/>
        </w:rPr>
        <w:t>TEVÉKENYSÉGÉ</w:t>
      </w:r>
      <w:r w:rsidR="00A5653E">
        <w:rPr>
          <w:rFonts w:ascii="Times New Roman" w:hAnsi="Times New Roman"/>
          <w:b/>
          <w:sz w:val="28"/>
          <w:szCs w:val="28"/>
        </w:rPr>
        <w:t>RŐL</w:t>
      </w:r>
    </w:p>
    <w:p w14:paraId="0B062C6B" w14:textId="77777777" w:rsidR="0091393B" w:rsidRPr="00CA4526" w:rsidRDefault="0091393B" w:rsidP="0091393B">
      <w:pPr>
        <w:spacing w:before="3000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CA4526">
        <w:rPr>
          <w:rFonts w:ascii="Times New Roman" w:hAnsi="Times New Roman"/>
          <w:b/>
          <w:sz w:val="24"/>
          <w:szCs w:val="24"/>
        </w:rPr>
        <w:t>Előterjesztő:</w:t>
      </w:r>
    </w:p>
    <w:p w14:paraId="06E2C577" w14:textId="07D587FD" w:rsidR="0091393B" w:rsidRPr="00CA4526" w:rsidRDefault="003A517E" w:rsidP="0091393B">
      <w:pPr>
        <w:spacing w:before="360"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Rózsa Gábor tű. alezredes</w:t>
      </w:r>
    </w:p>
    <w:p w14:paraId="44BE095F" w14:textId="747131DA" w:rsidR="0091393B" w:rsidRPr="00CA4526" w:rsidRDefault="003A517E" w:rsidP="001E089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kirendeltség-vezető</w:t>
      </w:r>
      <w:proofErr w:type="gramEnd"/>
    </w:p>
    <w:p w14:paraId="497A629E" w14:textId="117D1EF7" w:rsidR="0091393B" w:rsidRPr="00CA4526" w:rsidRDefault="005D6534" w:rsidP="0091393B">
      <w:pPr>
        <w:spacing w:before="600" w:after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="0091393B">
        <w:rPr>
          <w:rFonts w:ascii="Times New Roman" w:hAnsi="Times New Roman"/>
          <w:sz w:val="24"/>
          <w:szCs w:val="24"/>
        </w:rPr>
        <w:t>, 202</w:t>
      </w:r>
      <w:r w:rsidR="008E6638">
        <w:rPr>
          <w:rFonts w:ascii="Times New Roman" w:hAnsi="Times New Roman"/>
          <w:sz w:val="24"/>
          <w:szCs w:val="24"/>
        </w:rPr>
        <w:t>4</w:t>
      </w:r>
      <w:r w:rsidR="005017CF">
        <w:rPr>
          <w:rFonts w:ascii="Times New Roman" w:hAnsi="Times New Roman"/>
          <w:sz w:val="24"/>
          <w:szCs w:val="24"/>
        </w:rPr>
        <w:t>.</w:t>
      </w:r>
      <w:r w:rsidR="00757CDE">
        <w:rPr>
          <w:rFonts w:ascii="Times New Roman" w:hAnsi="Times New Roman"/>
          <w:sz w:val="24"/>
          <w:szCs w:val="24"/>
        </w:rPr>
        <w:t xml:space="preserve"> </w:t>
      </w:r>
      <w:r w:rsidR="00245992">
        <w:rPr>
          <w:rFonts w:ascii="Times New Roman" w:hAnsi="Times New Roman"/>
          <w:sz w:val="24"/>
          <w:szCs w:val="24"/>
        </w:rPr>
        <w:t>április</w:t>
      </w:r>
    </w:p>
    <w:p w14:paraId="4EAC38A1" w14:textId="1E39EBD3" w:rsidR="00916597" w:rsidRPr="003905C2" w:rsidRDefault="00916597" w:rsidP="00916597">
      <w:pPr>
        <w:pStyle w:val="Cmsor1"/>
        <w:spacing w:after="100" w:afterAutospacing="1"/>
        <w:rPr>
          <w:b/>
        </w:rPr>
      </w:pPr>
      <w:bookmarkStart w:id="0" w:name="_Toc40190324"/>
      <w:r w:rsidRPr="007925AA">
        <w:rPr>
          <w:b/>
        </w:rPr>
        <w:lastRenderedPageBreak/>
        <w:t>I. Bevezetés</w:t>
      </w:r>
      <w:bookmarkEnd w:id="0"/>
    </w:p>
    <w:p w14:paraId="40054C55" w14:textId="0E580FD3" w:rsidR="00916597" w:rsidRPr="007925AA" w:rsidRDefault="005017CF" w:rsidP="00041AE9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Az </w:t>
      </w:r>
      <w:r w:rsidR="003D62BB">
        <w:rPr>
          <w:rFonts w:ascii="Times New Roman" w:hAnsi="Times New Roman"/>
          <w:sz w:val="24"/>
          <w:szCs w:val="24"/>
        </w:rPr>
        <w:t>Érd</w:t>
      </w:r>
      <w:r w:rsidR="00916597" w:rsidRPr="007925AA">
        <w:rPr>
          <w:rFonts w:ascii="Times New Roman" w:hAnsi="Times New Roman"/>
          <w:sz w:val="24"/>
          <w:szCs w:val="24"/>
        </w:rPr>
        <w:t xml:space="preserve"> Hivatásos Tűzoltó-parancsnokság (</w:t>
      </w:r>
      <w:r w:rsidR="00916597">
        <w:rPr>
          <w:rFonts w:ascii="Times New Roman" w:hAnsi="Times New Roman"/>
          <w:sz w:val="24"/>
          <w:szCs w:val="24"/>
        </w:rPr>
        <w:t xml:space="preserve">a </w:t>
      </w:r>
      <w:r w:rsidR="00916597" w:rsidRPr="007925AA">
        <w:rPr>
          <w:rFonts w:ascii="Times New Roman" w:hAnsi="Times New Roman"/>
          <w:sz w:val="24"/>
          <w:szCs w:val="24"/>
        </w:rPr>
        <w:t xml:space="preserve">továbbiakban: </w:t>
      </w:r>
      <w:r w:rsidR="003D62BB">
        <w:rPr>
          <w:rFonts w:ascii="Times New Roman" w:hAnsi="Times New Roman"/>
          <w:sz w:val="24"/>
          <w:szCs w:val="24"/>
        </w:rPr>
        <w:t>Érd</w:t>
      </w:r>
      <w:r w:rsidR="00916597" w:rsidRPr="007925AA">
        <w:rPr>
          <w:rFonts w:ascii="Times New Roman" w:hAnsi="Times New Roman"/>
          <w:sz w:val="24"/>
          <w:szCs w:val="24"/>
        </w:rPr>
        <w:t xml:space="preserve"> HTP) </w:t>
      </w:r>
      <w:r>
        <w:rPr>
          <w:rFonts w:ascii="Times New Roman" w:hAnsi="Times New Roman"/>
          <w:sz w:val="24"/>
          <w:szCs w:val="24"/>
        </w:rPr>
        <w:t>és az alárendeltségébe tartozó Törökbálint Katasztrófavédelmi Őrs (a továbbiakban</w:t>
      </w:r>
      <w:r w:rsidR="003A51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Törökbálint </w:t>
      </w:r>
      <w:proofErr w:type="spellStart"/>
      <w:r>
        <w:rPr>
          <w:rFonts w:ascii="Times New Roman" w:hAnsi="Times New Roman"/>
          <w:sz w:val="24"/>
          <w:szCs w:val="24"/>
        </w:rPr>
        <w:t>KvŐ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916597" w:rsidRPr="007925AA">
        <w:rPr>
          <w:rFonts w:ascii="Times New Roman" w:hAnsi="Times New Roman"/>
          <w:sz w:val="24"/>
          <w:szCs w:val="24"/>
        </w:rPr>
        <w:t>a tevékenységét az értékelt időszakban a szervezetet érintő jogszabályok, a BM Országos Katasztrófavédelmi Főigazgatóság (</w:t>
      </w:r>
      <w:r w:rsidR="00916597">
        <w:rPr>
          <w:rFonts w:ascii="Times New Roman" w:hAnsi="Times New Roman"/>
          <w:sz w:val="24"/>
          <w:szCs w:val="24"/>
        </w:rPr>
        <w:t xml:space="preserve">a </w:t>
      </w:r>
      <w:r w:rsidR="00916597" w:rsidRPr="007925AA">
        <w:rPr>
          <w:rFonts w:ascii="Times New Roman" w:hAnsi="Times New Roman"/>
          <w:sz w:val="24"/>
          <w:szCs w:val="24"/>
        </w:rPr>
        <w:t xml:space="preserve">továbbiakban: BM OKF) és a Pest </w:t>
      </w:r>
      <w:r>
        <w:rPr>
          <w:rFonts w:ascii="Times New Roman" w:hAnsi="Times New Roman"/>
          <w:sz w:val="24"/>
          <w:szCs w:val="24"/>
        </w:rPr>
        <w:t>Várm</w:t>
      </w:r>
      <w:r w:rsidR="00916597" w:rsidRPr="007925AA">
        <w:rPr>
          <w:rFonts w:ascii="Times New Roman" w:hAnsi="Times New Roman"/>
          <w:sz w:val="24"/>
          <w:szCs w:val="24"/>
        </w:rPr>
        <w:t xml:space="preserve">egyei Katasztrófavédelmi Igazgatóság (a továbbiakban: Pest </w:t>
      </w:r>
      <w:r w:rsidR="00EF3B54">
        <w:rPr>
          <w:rFonts w:ascii="Times New Roman" w:hAnsi="Times New Roman"/>
          <w:sz w:val="24"/>
          <w:szCs w:val="24"/>
        </w:rPr>
        <w:t>VMKI) normatív szabályozói</w:t>
      </w:r>
      <w:r w:rsidR="00916597" w:rsidRPr="007925AA">
        <w:rPr>
          <w:rFonts w:ascii="Times New Roman" w:hAnsi="Times New Roman"/>
          <w:sz w:val="24"/>
          <w:szCs w:val="24"/>
        </w:rPr>
        <w:t>, valamint Érd Katasztrófavédelmi Kirendeltség (</w:t>
      </w:r>
      <w:r w:rsidR="00916597">
        <w:rPr>
          <w:rFonts w:ascii="Times New Roman" w:hAnsi="Times New Roman"/>
          <w:sz w:val="24"/>
          <w:szCs w:val="24"/>
        </w:rPr>
        <w:t xml:space="preserve">a </w:t>
      </w:r>
      <w:r w:rsidR="00916597" w:rsidRPr="007925AA">
        <w:rPr>
          <w:rFonts w:ascii="Times New Roman" w:hAnsi="Times New Roman"/>
          <w:sz w:val="24"/>
          <w:szCs w:val="24"/>
        </w:rPr>
        <w:t xml:space="preserve">továbbiakban: Érd </w:t>
      </w:r>
      <w:proofErr w:type="spellStart"/>
      <w:r w:rsidR="00916597" w:rsidRPr="007925AA">
        <w:rPr>
          <w:rFonts w:ascii="Times New Roman" w:hAnsi="Times New Roman"/>
          <w:sz w:val="24"/>
          <w:szCs w:val="24"/>
        </w:rPr>
        <w:t>KvK</w:t>
      </w:r>
      <w:proofErr w:type="spellEnd"/>
      <w:r w:rsidR="00916597" w:rsidRPr="007925AA">
        <w:rPr>
          <w:rFonts w:ascii="Times New Roman" w:hAnsi="Times New Roman"/>
          <w:sz w:val="24"/>
          <w:szCs w:val="24"/>
        </w:rPr>
        <w:t>)</w:t>
      </w:r>
      <w:r w:rsidR="00916597">
        <w:rPr>
          <w:rFonts w:ascii="Times New Roman" w:hAnsi="Times New Roman"/>
          <w:sz w:val="24"/>
          <w:szCs w:val="24"/>
        </w:rPr>
        <w:t xml:space="preserve"> </w:t>
      </w:r>
      <w:r w:rsidR="00916597" w:rsidRPr="007925AA">
        <w:rPr>
          <w:rFonts w:ascii="Times New Roman" w:hAnsi="Times New Roman"/>
          <w:sz w:val="24"/>
          <w:szCs w:val="24"/>
        </w:rPr>
        <w:t>ügyrendje alapján végezte.</w:t>
      </w:r>
      <w:proofErr w:type="gramEnd"/>
    </w:p>
    <w:p w14:paraId="264E3C89" w14:textId="3DDB36F8" w:rsidR="00916597" w:rsidRPr="007925AA" w:rsidRDefault="003D62BB" w:rsidP="00041AE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="00916597" w:rsidRPr="007925AA">
        <w:rPr>
          <w:rFonts w:ascii="Times New Roman" w:hAnsi="Times New Roman"/>
          <w:sz w:val="24"/>
          <w:szCs w:val="24"/>
        </w:rPr>
        <w:t xml:space="preserve"> HTP az egységes katasztrófavédelmi szervezet helyi szerveként a Pest </w:t>
      </w:r>
      <w:r w:rsidR="005017CF">
        <w:rPr>
          <w:rFonts w:ascii="Times New Roman" w:hAnsi="Times New Roman"/>
          <w:sz w:val="24"/>
          <w:szCs w:val="24"/>
        </w:rPr>
        <w:t>V</w:t>
      </w:r>
      <w:r w:rsidR="00916597" w:rsidRPr="007925AA">
        <w:rPr>
          <w:rFonts w:ascii="Times New Roman" w:hAnsi="Times New Roman"/>
          <w:sz w:val="24"/>
          <w:szCs w:val="24"/>
        </w:rPr>
        <w:t xml:space="preserve">MKI, valamint az Érd </w:t>
      </w:r>
      <w:proofErr w:type="spellStart"/>
      <w:r w:rsidR="00916597" w:rsidRPr="007925AA">
        <w:rPr>
          <w:rFonts w:ascii="Times New Roman" w:hAnsi="Times New Roman"/>
          <w:sz w:val="24"/>
          <w:szCs w:val="24"/>
        </w:rPr>
        <w:t>KvK</w:t>
      </w:r>
      <w:proofErr w:type="spellEnd"/>
      <w:r w:rsidR="00916597">
        <w:rPr>
          <w:rFonts w:ascii="Times New Roman" w:hAnsi="Times New Roman"/>
          <w:sz w:val="24"/>
          <w:szCs w:val="24"/>
        </w:rPr>
        <w:t xml:space="preserve"> </w:t>
      </w:r>
      <w:r w:rsidR="00916597" w:rsidRPr="007925AA">
        <w:rPr>
          <w:rFonts w:ascii="Times New Roman" w:hAnsi="Times New Roman"/>
          <w:sz w:val="24"/>
          <w:szCs w:val="24"/>
        </w:rPr>
        <w:t xml:space="preserve">közvetlen irányítása alatt működik. </w:t>
      </w:r>
      <w:r w:rsidR="00916597" w:rsidRPr="00A87379">
        <w:rPr>
          <w:rFonts w:ascii="Times New Roman" w:hAnsi="Times New Roman"/>
          <w:sz w:val="24"/>
          <w:szCs w:val="24"/>
        </w:rPr>
        <w:t xml:space="preserve">Működési területéhez </w:t>
      </w:r>
      <w:r w:rsidR="00A87379" w:rsidRPr="00A87379">
        <w:rPr>
          <w:rFonts w:ascii="Times New Roman" w:hAnsi="Times New Roman"/>
          <w:sz w:val="24"/>
          <w:szCs w:val="24"/>
        </w:rPr>
        <w:t>20</w:t>
      </w:r>
      <w:r w:rsidR="00916597" w:rsidRPr="00A87379">
        <w:rPr>
          <w:rFonts w:ascii="Times New Roman" w:hAnsi="Times New Roman"/>
          <w:sz w:val="24"/>
          <w:szCs w:val="24"/>
        </w:rPr>
        <w:t xml:space="preserve"> település</w:t>
      </w:r>
      <w:r w:rsidR="00A87379" w:rsidRPr="00A87379">
        <w:rPr>
          <w:rFonts w:ascii="Times New Roman" w:hAnsi="Times New Roman"/>
          <w:sz w:val="24"/>
          <w:szCs w:val="24"/>
        </w:rPr>
        <w:t xml:space="preserve"> </w:t>
      </w:r>
      <w:r w:rsidR="00916597" w:rsidRPr="00A87379">
        <w:rPr>
          <w:rFonts w:ascii="Times New Roman" w:hAnsi="Times New Roman"/>
          <w:sz w:val="24"/>
          <w:szCs w:val="24"/>
        </w:rPr>
        <w:t>tartozik</w:t>
      </w:r>
      <w:r w:rsidR="00916597" w:rsidRPr="007925AA">
        <w:rPr>
          <w:rFonts w:ascii="Times New Roman" w:hAnsi="Times New Roman"/>
          <w:sz w:val="24"/>
          <w:szCs w:val="24"/>
        </w:rPr>
        <w:t xml:space="preserve">. </w:t>
      </w:r>
    </w:p>
    <w:p w14:paraId="22751D93" w14:textId="563AC1D6" w:rsidR="00916597" w:rsidRPr="003905C2" w:rsidRDefault="00A87379" w:rsidP="00041AE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működési terület két </w:t>
      </w:r>
      <w:r w:rsidR="00EF3B54">
        <w:rPr>
          <w:rFonts w:ascii="Times New Roman" w:hAnsi="Times New Roman"/>
          <w:sz w:val="24"/>
          <w:szCs w:val="24"/>
        </w:rPr>
        <w:t>vár</w:t>
      </w:r>
      <w:r>
        <w:rPr>
          <w:rFonts w:ascii="Times New Roman" w:hAnsi="Times New Roman"/>
          <w:sz w:val="24"/>
          <w:szCs w:val="24"/>
        </w:rPr>
        <w:t xml:space="preserve">megyét és négy járást érint. Fejér </w:t>
      </w:r>
      <w:r w:rsidR="00EF3B54">
        <w:rPr>
          <w:rFonts w:ascii="Times New Roman" w:hAnsi="Times New Roman"/>
          <w:sz w:val="24"/>
          <w:szCs w:val="24"/>
        </w:rPr>
        <w:t>vár</w:t>
      </w:r>
      <w:r>
        <w:rPr>
          <w:rFonts w:ascii="Times New Roman" w:hAnsi="Times New Roman"/>
          <w:sz w:val="24"/>
          <w:szCs w:val="24"/>
        </w:rPr>
        <w:t xml:space="preserve">megyében, a Martonvásári járásban két </w:t>
      </w:r>
      <w:r w:rsidR="009776D6">
        <w:rPr>
          <w:rFonts w:ascii="Times New Roman" w:hAnsi="Times New Roman"/>
          <w:sz w:val="24"/>
          <w:szCs w:val="24"/>
        </w:rPr>
        <w:t xml:space="preserve">város </w:t>
      </w:r>
      <w:r w:rsidR="009776D6" w:rsidRPr="007925A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Martonvásár és Ercsi), valamint öt község (Baracska, Kajászó, Ráckeresztúr, Tordas és Vál), a Bicskei Járásban Gyúró nagyközség tartozik a működési területhez. Pe</w:t>
      </w:r>
      <w:r w:rsidR="00082747">
        <w:rPr>
          <w:rFonts w:ascii="Times New Roman" w:hAnsi="Times New Roman"/>
          <w:sz w:val="24"/>
          <w:szCs w:val="24"/>
        </w:rPr>
        <w:t xml:space="preserve">st </w:t>
      </w:r>
      <w:r w:rsidR="00EF3B54">
        <w:rPr>
          <w:rFonts w:ascii="Times New Roman" w:hAnsi="Times New Roman"/>
          <w:sz w:val="24"/>
          <w:szCs w:val="24"/>
        </w:rPr>
        <w:t>vár</w:t>
      </w:r>
      <w:r w:rsidR="00082747">
        <w:rPr>
          <w:rFonts w:ascii="Times New Roman" w:hAnsi="Times New Roman"/>
          <w:sz w:val="24"/>
          <w:szCs w:val="24"/>
        </w:rPr>
        <w:t>megyében a Budakeszi járásban két város (Biatorbágy és Budaörs), két község (Herceghalom és Páty), az</w:t>
      </w:r>
      <w:r w:rsidR="00916597" w:rsidRPr="007925AA">
        <w:rPr>
          <w:rFonts w:ascii="Times New Roman" w:hAnsi="Times New Roman"/>
          <w:sz w:val="24"/>
          <w:szCs w:val="24"/>
        </w:rPr>
        <w:t xml:space="preserve"> </w:t>
      </w:r>
      <w:r w:rsidR="003D62BB">
        <w:rPr>
          <w:rFonts w:ascii="Times New Roman" w:hAnsi="Times New Roman"/>
          <w:sz w:val="24"/>
          <w:szCs w:val="24"/>
        </w:rPr>
        <w:t>Érd</w:t>
      </w:r>
      <w:r w:rsidR="00916597" w:rsidRPr="007925AA">
        <w:rPr>
          <w:rFonts w:ascii="Times New Roman" w:hAnsi="Times New Roman"/>
          <w:sz w:val="24"/>
          <w:szCs w:val="24"/>
        </w:rPr>
        <w:t xml:space="preserve">i Járásban </w:t>
      </w:r>
      <w:r w:rsidR="00082747" w:rsidRPr="00082747">
        <w:rPr>
          <w:rFonts w:ascii="Times New Roman" w:hAnsi="Times New Roman"/>
          <w:sz w:val="24"/>
          <w:szCs w:val="24"/>
        </w:rPr>
        <w:t>öt</w:t>
      </w:r>
      <w:r w:rsidR="00916597" w:rsidRPr="00082747">
        <w:rPr>
          <w:rFonts w:ascii="Times New Roman" w:hAnsi="Times New Roman"/>
          <w:sz w:val="24"/>
          <w:szCs w:val="24"/>
        </w:rPr>
        <w:t xml:space="preserve"> város (</w:t>
      </w:r>
      <w:r w:rsidR="003D62BB" w:rsidRPr="00082747">
        <w:rPr>
          <w:rFonts w:ascii="Times New Roman" w:hAnsi="Times New Roman"/>
          <w:sz w:val="24"/>
          <w:szCs w:val="24"/>
        </w:rPr>
        <w:t>Érd</w:t>
      </w:r>
      <w:r w:rsidR="00916597" w:rsidRPr="00082747">
        <w:rPr>
          <w:rFonts w:ascii="Times New Roman" w:hAnsi="Times New Roman"/>
          <w:sz w:val="24"/>
          <w:szCs w:val="24"/>
        </w:rPr>
        <w:t xml:space="preserve">, </w:t>
      </w:r>
      <w:r w:rsidR="00082747" w:rsidRPr="00082747">
        <w:rPr>
          <w:rFonts w:ascii="Times New Roman" w:hAnsi="Times New Roman"/>
          <w:sz w:val="24"/>
          <w:szCs w:val="24"/>
        </w:rPr>
        <w:t xml:space="preserve">Diósd, Etyek, Százhalombatta, Törökbálint), Tárnok nagyközség és két község (Pusztazámor és Sóskút) </w:t>
      </w:r>
      <w:r w:rsidR="00916597" w:rsidRPr="00082747">
        <w:rPr>
          <w:rFonts w:ascii="Times New Roman" w:hAnsi="Times New Roman"/>
          <w:sz w:val="24"/>
          <w:szCs w:val="24"/>
        </w:rPr>
        <w:t>található.</w:t>
      </w:r>
      <w:r w:rsidR="00916597" w:rsidRPr="00B72A6B">
        <w:rPr>
          <w:rFonts w:ascii="Times New Roman" w:hAnsi="Times New Roman"/>
          <w:sz w:val="24"/>
          <w:szCs w:val="24"/>
        </w:rPr>
        <w:t xml:space="preserve"> </w:t>
      </w:r>
      <w:r w:rsidR="00082747" w:rsidRPr="00082747">
        <w:rPr>
          <w:rFonts w:ascii="Times New Roman" w:hAnsi="Times New Roman"/>
          <w:sz w:val="24"/>
          <w:szCs w:val="24"/>
        </w:rPr>
        <w:t>Az</w:t>
      </w:r>
      <w:r w:rsidR="00916597" w:rsidRPr="00082747">
        <w:rPr>
          <w:rFonts w:ascii="Times New Roman" w:hAnsi="Times New Roman"/>
          <w:sz w:val="24"/>
          <w:szCs w:val="24"/>
        </w:rPr>
        <w:t xml:space="preserve"> </w:t>
      </w:r>
      <w:r w:rsidR="003D62BB" w:rsidRPr="00082747">
        <w:rPr>
          <w:rFonts w:ascii="Times New Roman" w:hAnsi="Times New Roman"/>
          <w:sz w:val="24"/>
          <w:szCs w:val="24"/>
        </w:rPr>
        <w:t>Érd</w:t>
      </w:r>
      <w:r w:rsidR="00916597" w:rsidRPr="00082747">
        <w:rPr>
          <w:rFonts w:ascii="Times New Roman" w:hAnsi="Times New Roman"/>
          <w:sz w:val="24"/>
          <w:szCs w:val="24"/>
        </w:rPr>
        <w:t xml:space="preserve"> HTP </w:t>
      </w:r>
      <w:r w:rsidR="00082747" w:rsidRPr="00082747">
        <w:rPr>
          <w:rFonts w:ascii="Times New Roman" w:hAnsi="Times New Roman"/>
          <w:sz w:val="24"/>
          <w:szCs w:val="24"/>
        </w:rPr>
        <w:t>628,72 km</w:t>
      </w:r>
      <w:r w:rsidR="00082747" w:rsidRPr="00082747">
        <w:rPr>
          <w:rFonts w:ascii="Times New Roman" w:hAnsi="Times New Roman"/>
          <w:sz w:val="24"/>
          <w:szCs w:val="24"/>
          <w:vertAlign w:val="superscript"/>
        </w:rPr>
        <w:t>2</w:t>
      </w:r>
      <w:r w:rsidR="00082747" w:rsidRPr="00082747">
        <w:rPr>
          <w:rFonts w:ascii="Times New Roman" w:hAnsi="Times New Roman"/>
          <w:sz w:val="24"/>
          <w:szCs w:val="24"/>
        </w:rPr>
        <w:t xml:space="preserve">-en </w:t>
      </w:r>
      <w:r w:rsidR="00916597" w:rsidRPr="00082747">
        <w:rPr>
          <w:rFonts w:ascii="Times New Roman" w:hAnsi="Times New Roman"/>
          <w:sz w:val="24"/>
          <w:szCs w:val="24"/>
        </w:rPr>
        <w:t xml:space="preserve">összesen </w:t>
      </w:r>
      <w:r w:rsidR="00856700">
        <w:rPr>
          <w:rFonts w:ascii="Times New Roman" w:hAnsi="Times New Roman"/>
          <w:sz w:val="24"/>
          <w:szCs w:val="24"/>
        </w:rPr>
        <w:t>221.</w:t>
      </w:r>
      <w:r w:rsidR="00044AAF">
        <w:rPr>
          <w:rFonts w:ascii="Times New Roman" w:hAnsi="Times New Roman"/>
          <w:sz w:val="24"/>
          <w:szCs w:val="24"/>
        </w:rPr>
        <w:t>902</w:t>
      </w:r>
      <w:r w:rsidR="00916597" w:rsidRPr="00082747">
        <w:rPr>
          <w:rFonts w:ascii="Times New Roman" w:hAnsi="Times New Roman"/>
          <w:sz w:val="24"/>
          <w:szCs w:val="24"/>
        </w:rPr>
        <w:t xml:space="preserve"> fő lakos tűzvédelmi biztonságát látja el</w:t>
      </w:r>
      <w:r w:rsidR="00DB738B">
        <w:rPr>
          <w:rFonts w:ascii="Times New Roman" w:hAnsi="Times New Roman"/>
          <w:sz w:val="24"/>
          <w:szCs w:val="24"/>
        </w:rPr>
        <w:t xml:space="preserve">. </w:t>
      </w:r>
    </w:p>
    <w:p w14:paraId="6ACD3AC2" w14:textId="220A974D" w:rsidR="00306E55" w:rsidRPr="00EF3B54" w:rsidRDefault="00306E55" w:rsidP="00041AE9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Területünkön megtalálható</w:t>
      </w:r>
      <w:r w:rsidR="009555B6">
        <w:rPr>
          <w:rFonts w:ascii="Times New Roman" w:hAnsi="Times New Roman"/>
          <w:sz w:val="24"/>
          <w:szCs w:val="24"/>
        </w:rPr>
        <w:t>ak az M1, M6, M7 autópályák</w:t>
      </w:r>
      <w:r>
        <w:rPr>
          <w:rFonts w:ascii="Times New Roman" w:hAnsi="Times New Roman"/>
          <w:sz w:val="24"/>
          <w:szCs w:val="24"/>
        </w:rPr>
        <w:t xml:space="preserve">, az M0 autóút, valamint az 1-es, 6-os, 7-es főutak. </w:t>
      </w:r>
      <w:r w:rsidR="009555B6">
        <w:rPr>
          <w:rFonts w:ascii="Times New Roman" w:hAnsi="Times New Roman"/>
          <w:sz w:val="24"/>
          <w:szCs w:val="24"/>
        </w:rPr>
        <w:t>K</w:t>
      </w:r>
      <w:r w:rsidRPr="00524A0D">
        <w:rPr>
          <w:rFonts w:ascii="Times New Roman" w:hAnsi="Times New Roman"/>
          <w:sz w:val="24"/>
          <w:szCs w:val="24"/>
        </w:rPr>
        <w:t>özépmagas társasházak, irodaházak</w:t>
      </w:r>
      <w:r>
        <w:rPr>
          <w:rFonts w:ascii="Times New Roman" w:hAnsi="Times New Roman"/>
          <w:sz w:val="24"/>
          <w:szCs w:val="24"/>
        </w:rPr>
        <w:t>, nem nyilvános repülőterek</w:t>
      </w:r>
      <w:r w:rsidR="00BD6989">
        <w:rPr>
          <w:rFonts w:ascii="Times New Roman" w:hAnsi="Times New Roman"/>
          <w:sz w:val="24"/>
          <w:szCs w:val="24"/>
        </w:rPr>
        <w:t xml:space="preserve">, </w:t>
      </w:r>
      <w:r w:rsidR="00EF3B54">
        <w:rPr>
          <w:rFonts w:ascii="Times New Roman" w:hAnsi="Times New Roman"/>
          <w:sz w:val="24"/>
          <w:szCs w:val="24"/>
        </w:rPr>
        <w:t xml:space="preserve">nagy forgalmat </w:t>
      </w:r>
      <w:r w:rsidR="00EF3B54" w:rsidRPr="008E6638">
        <w:rPr>
          <w:rFonts w:ascii="Times New Roman" w:hAnsi="Times New Roman"/>
          <w:sz w:val="24"/>
          <w:szCs w:val="24"/>
        </w:rPr>
        <w:t xml:space="preserve">bonyolító ipari parkok, </w:t>
      </w:r>
      <w:r w:rsidR="00EF3B54">
        <w:rPr>
          <w:rFonts w:ascii="Times New Roman" w:hAnsi="Times New Roman"/>
          <w:sz w:val="24"/>
          <w:szCs w:val="24"/>
        </w:rPr>
        <w:t xml:space="preserve">létesítmények, </w:t>
      </w:r>
      <w:r w:rsidR="00EF3B54" w:rsidRPr="008E6638">
        <w:rPr>
          <w:rFonts w:ascii="Times New Roman" w:hAnsi="Times New Roman"/>
          <w:sz w:val="24"/>
          <w:szCs w:val="24"/>
        </w:rPr>
        <w:t>bevásárló- és</w:t>
      </w:r>
      <w:r w:rsidR="00EF3B54">
        <w:rPr>
          <w:rFonts w:ascii="Times New Roman" w:hAnsi="Times New Roman"/>
          <w:sz w:val="24"/>
          <w:szCs w:val="24"/>
        </w:rPr>
        <w:t xml:space="preserve"> logisztikai központok vannak jelen. </w:t>
      </w:r>
    </w:p>
    <w:p w14:paraId="5FE20148" w14:textId="5A10A6F1" w:rsidR="00913855" w:rsidRDefault="00913855" w:rsidP="0091385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2023. év legfontosabb célkitűzése az alapfeladatok (tűzoltás és műszaki mentés) maradéktalan biztosítása, a gyors tűzoltói segítség nyújtása a területen lévő állampolgárok részére. Kiemelt figyelmet fordítottunk a lakosság élet- és vagyonbiztonságára, a lakosságvédelemre, valamint a megelőzés fontosságára.</w:t>
      </w:r>
    </w:p>
    <w:p w14:paraId="33E1F442" w14:textId="784CF085" w:rsidR="00916597" w:rsidRPr="007925AA" w:rsidRDefault="00916597" w:rsidP="00916597">
      <w:pPr>
        <w:pStyle w:val="Cmsor1"/>
        <w:spacing w:before="100" w:beforeAutospacing="1" w:after="100" w:afterAutospacing="1"/>
        <w:rPr>
          <w:b/>
        </w:rPr>
      </w:pPr>
      <w:bookmarkStart w:id="1" w:name="_Toc40190325"/>
      <w:r w:rsidRPr="00E53890">
        <w:rPr>
          <w:b/>
        </w:rPr>
        <w:t xml:space="preserve">II. </w:t>
      </w:r>
      <w:bookmarkEnd w:id="1"/>
      <w:r w:rsidR="00CB42D9">
        <w:rPr>
          <w:b/>
        </w:rPr>
        <w:t xml:space="preserve">Tűzoltás, </w:t>
      </w:r>
      <w:r w:rsidRPr="00E53890">
        <w:rPr>
          <w:b/>
        </w:rPr>
        <w:t>műszaki mentési tevékenység</w:t>
      </w:r>
    </w:p>
    <w:p w14:paraId="7E645D17" w14:textId="083E61F6" w:rsidR="00916597" w:rsidRPr="00C35D4D" w:rsidRDefault="009776D6" w:rsidP="00CB42D9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77AF">
        <w:rPr>
          <w:rFonts w:ascii="Times New Roman" w:hAnsi="Times New Roman"/>
          <w:sz w:val="24"/>
          <w:szCs w:val="24"/>
        </w:rPr>
        <w:t xml:space="preserve">Az </w:t>
      </w:r>
      <w:r w:rsidR="003D62BB" w:rsidRPr="008077AF">
        <w:rPr>
          <w:rFonts w:ascii="Times New Roman" w:hAnsi="Times New Roman"/>
          <w:sz w:val="24"/>
          <w:szCs w:val="24"/>
        </w:rPr>
        <w:t>Érd</w:t>
      </w:r>
      <w:r w:rsidR="00916597" w:rsidRPr="008077AF">
        <w:rPr>
          <w:rFonts w:ascii="Times New Roman" w:hAnsi="Times New Roman"/>
          <w:sz w:val="24"/>
          <w:szCs w:val="24"/>
        </w:rPr>
        <w:t xml:space="preserve"> </w:t>
      </w:r>
      <w:r w:rsidR="001F52CD">
        <w:rPr>
          <w:rFonts w:ascii="Times New Roman" w:hAnsi="Times New Roman"/>
          <w:sz w:val="24"/>
          <w:szCs w:val="24"/>
        </w:rPr>
        <w:t>HTP</w:t>
      </w:r>
      <w:r w:rsidR="00916597" w:rsidRPr="008077AF">
        <w:rPr>
          <w:rFonts w:ascii="Times New Roman" w:hAnsi="Times New Roman"/>
          <w:sz w:val="24"/>
          <w:szCs w:val="24"/>
        </w:rPr>
        <w:t xml:space="preserve"> </w:t>
      </w:r>
      <w:r w:rsidR="001F52CD">
        <w:rPr>
          <w:rFonts w:ascii="Times New Roman" w:hAnsi="Times New Roman"/>
          <w:sz w:val="24"/>
          <w:szCs w:val="24"/>
        </w:rPr>
        <w:t>2023-ban</w:t>
      </w:r>
      <w:r w:rsidRPr="008077AF">
        <w:rPr>
          <w:rFonts w:ascii="Times New Roman" w:hAnsi="Times New Roman"/>
          <w:sz w:val="24"/>
          <w:szCs w:val="24"/>
        </w:rPr>
        <w:t xml:space="preserve"> </w:t>
      </w:r>
      <w:r w:rsidR="00C35D4D" w:rsidRPr="008077AF">
        <w:rPr>
          <w:rFonts w:ascii="Times New Roman" w:hAnsi="Times New Roman"/>
          <w:sz w:val="24"/>
          <w:szCs w:val="24"/>
        </w:rPr>
        <w:t>a beavatkozások</w:t>
      </w:r>
      <w:r w:rsidR="00CB42D9">
        <w:rPr>
          <w:rFonts w:ascii="Times New Roman" w:hAnsi="Times New Roman"/>
          <w:sz w:val="24"/>
          <w:szCs w:val="24"/>
        </w:rPr>
        <w:t xml:space="preserve"> nagy részét I. </w:t>
      </w:r>
      <w:r w:rsidR="00916597" w:rsidRPr="008077AF">
        <w:rPr>
          <w:rFonts w:ascii="Times New Roman" w:hAnsi="Times New Roman"/>
          <w:sz w:val="24"/>
          <w:szCs w:val="24"/>
        </w:rPr>
        <w:t>vagy I/</w:t>
      </w:r>
      <w:r w:rsidR="00EF3B54">
        <w:rPr>
          <w:rFonts w:ascii="Times New Roman" w:hAnsi="Times New Roman"/>
          <w:sz w:val="24"/>
          <w:szCs w:val="24"/>
        </w:rPr>
        <w:t>k</w:t>
      </w:r>
      <w:r w:rsidR="00916597" w:rsidRPr="008077AF">
        <w:rPr>
          <w:rFonts w:ascii="Times New Roman" w:hAnsi="Times New Roman"/>
          <w:sz w:val="24"/>
          <w:szCs w:val="24"/>
        </w:rPr>
        <w:t>iemel</w:t>
      </w:r>
      <w:r w:rsidR="00ED4303" w:rsidRPr="008077AF">
        <w:rPr>
          <w:rFonts w:ascii="Times New Roman" w:hAnsi="Times New Roman"/>
          <w:sz w:val="24"/>
          <w:szCs w:val="24"/>
        </w:rPr>
        <w:t xml:space="preserve">t fokozatban hajtotta </w:t>
      </w:r>
      <w:r w:rsidR="00ED4303" w:rsidRPr="00044AAF">
        <w:rPr>
          <w:rFonts w:ascii="Times New Roman" w:hAnsi="Times New Roman"/>
          <w:sz w:val="24"/>
          <w:szCs w:val="24"/>
        </w:rPr>
        <w:t>végre (</w:t>
      </w:r>
      <w:r w:rsidR="00044AAF" w:rsidRPr="00044AAF">
        <w:rPr>
          <w:rFonts w:ascii="Times New Roman" w:hAnsi="Times New Roman"/>
          <w:sz w:val="24"/>
          <w:szCs w:val="24"/>
        </w:rPr>
        <w:t>890</w:t>
      </w:r>
      <w:r w:rsidR="00916597" w:rsidRPr="00044AAF">
        <w:rPr>
          <w:rFonts w:ascii="Times New Roman" w:hAnsi="Times New Roman"/>
          <w:sz w:val="24"/>
          <w:szCs w:val="24"/>
        </w:rPr>
        <w:t>).</w:t>
      </w:r>
      <w:r w:rsidR="00916597" w:rsidRPr="00C35D4D">
        <w:rPr>
          <w:rFonts w:ascii="Times New Roman" w:hAnsi="Times New Roman"/>
          <w:sz w:val="24"/>
          <w:szCs w:val="24"/>
        </w:rPr>
        <w:t xml:space="preserve"> </w:t>
      </w:r>
    </w:p>
    <w:p w14:paraId="6B5448BE" w14:textId="4B315348" w:rsidR="00916597" w:rsidRDefault="00916597" w:rsidP="00CB42D9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44AAF">
        <w:rPr>
          <w:rFonts w:ascii="Times New Roman" w:hAnsi="Times New Roman"/>
          <w:sz w:val="24"/>
          <w:szCs w:val="24"/>
        </w:rPr>
        <w:t>Tényleges II/</w:t>
      </w:r>
      <w:r w:rsidR="003A517E">
        <w:rPr>
          <w:rFonts w:ascii="Times New Roman" w:hAnsi="Times New Roman"/>
          <w:sz w:val="24"/>
          <w:szCs w:val="24"/>
        </w:rPr>
        <w:t>kiemelt</w:t>
      </w:r>
      <w:r w:rsidR="00ED4303" w:rsidRPr="00044AAF">
        <w:rPr>
          <w:rFonts w:ascii="Times New Roman" w:hAnsi="Times New Roman"/>
          <w:sz w:val="24"/>
          <w:szCs w:val="24"/>
        </w:rPr>
        <w:t xml:space="preserve"> riasztási fokozat </w:t>
      </w:r>
      <w:r w:rsidR="00044AAF" w:rsidRPr="00044AAF">
        <w:rPr>
          <w:rFonts w:ascii="Times New Roman" w:hAnsi="Times New Roman"/>
          <w:sz w:val="24"/>
          <w:szCs w:val="24"/>
        </w:rPr>
        <w:t>7</w:t>
      </w:r>
      <w:r w:rsidRPr="00044AAF">
        <w:rPr>
          <w:rFonts w:ascii="Times New Roman" w:hAnsi="Times New Roman"/>
          <w:sz w:val="24"/>
          <w:szCs w:val="24"/>
        </w:rPr>
        <w:t xml:space="preserve"> esetben </w:t>
      </w:r>
      <w:r w:rsidR="00C46386">
        <w:rPr>
          <w:rFonts w:ascii="Times New Roman" w:hAnsi="Times New Roman"/>
          <w:sz w:val="24"/>
          <w:szCs w:val="24"/>
        </w:rPr>
        <w:t>volt</w:t>
      </w:r>
      <w:r w:rsidRPr="00044AAF">
        <w:rPr>
          <w:rFonts w:ascii="Times New Roman" w:hAnsi="Times New Roman"/>
          <w:sz w:val="24"/>
          <w:szCs w:val="24"/>
        </w:rPr>
        <w:t>, III</w:t>
      </w:r>
      <w:r w:rsidR="00CB42D9">
        <w:rPr>
          <w:rFonts w:ascii="Times New Roman" w:hAnsi="Times New Roman"/>
          <w:sz w:val="24"/>
          <w:szCs w:val="24"/>
        </w:rPr>
        <w:t>.</w:t>
      </w:r>
      <w:r w:rsidRPr="00044AAF">
        <w:rPr>
          <w:rFonts w:ascii="Times New Roman" w:hAnsi="Times New Roman"/>
          <w:sz w:val="24"/>
          <w:szCs w:val="24"/>
        </w:rPr>
        <w:t>, IV</w:t>
      </w:r>
      <w:r w:rsidR="00CB42D9">
        <w:rPr>
          <w:rFonts w:ascii="Times New Roman" w:hAnsi="Times New Roman"/>
          <w:sz w:val="24"/>
          <w:szCs w:val="24"/>
        </w:rPr>
        <w:t>.</w:t>
      </w:r>
      <w:r w:rsidR="00C35D4D" w:rsidRPr="00044AAF">
        <w:rPr>
          <w:rFonts w:ascii="Times New Roman" w:hAnsi="Times New Roman"/>
          <w:sz w:val="24"/>
          <w:szCs w:val="24"/>
        </w:rPr>
        <w:t xml:space="preserve"> </w:t>
      </w:r>
      <w:r w:rsidR="008077AF" w:rsidRPr="00044AAF">
        <w:rPr>
          <w:rFonts w:ascii="Times New Roman" w:hAnsi="Times New Roman"/>
          <w:sz w:val="24"/>
          <w:szCs w:val="24"/>
        </w:rPr>
        <w:t>és</w:t>
      </w:r>
      <w:r w:rsidRPr="00044AAF">
        <w:rPr>
          <w:rFonts w:ascii="Times New Roman" w:hAnsi="Times New Roman"/>
          <w:sz w:val="24"/>
          <w:szCs w:val="24"/>
        </w:rPr>
        <w:t xml:space="preserve"> </w:t>
      </w:r>
      <w:r w:rsidR="00ED4303" w:rsidRPr="00044AAF">
        <w:rPr>
          <w:rFonts w:ascii="Times New Roman" w:hAnsi="Times New Roman"/>
          <w:sz w:val="24"/>
          <w:szCs w:val="24"/>
        </w:rPr>
        <w:t>V</w:t>
      </w:r>
      <w:r w:rsidR="003A517E">
        <w:rPr>
          <w:rFonts w:ascii="Times New Roman" w:hAnsi="Times New Roman"/>
          <w:sz w:val="24"/>
          <w:szCs w:val="24"/>
        </w:rPr>
        <w:t>.</w:t>
      </w:r>
      <w:r w:rsidR="00ED4303" w:rsidRPr="00044AAF">
        <w:rPr>
          <w:rFonts w:ascii="Times New Roman" w:hAnsi="Times New Roman"/>
          <w:sz w:val="24"/>
          <w:szCs w:val="24"/>
        </w:rPr>
        <w:t xml:space="preserve"> riasztási</w:t>
      </w:r>
      <w:r w:rsidR="007B53D7" w:rsidRPr="00044AAF">
        <w:rPr>
          <w:rFonts w:ascii="Times New Roman" w:hAnsi="Times New Roman"/>
          <w:sz w:val="24"/>
          <w:szCs w:val="24"/>
        </w:rPr>
        <w:t xml:space="preserve"> fokozatú </w:t>
      </w:r>
      <w:r w:rsidR="008077AF" w:rsidRPr="00044AAF">
        <w:rPr>
          <w:rFonts w:ascii="Times New Roman" w:hAnsi="Times New Roman"/>
          <w:sz w:val="24"/>
          <w:szCs w:val="24"/>
        </w:rPr>
        <w:t xml:space="preserve">beavatkozást igénylő </w:t>
      </w:r>
      <w:r w:rsidR="007B53D7" w:rsidRPr="00044AAF">
        <w:rPr>
          <w:rFonts w:ascii="Times New Roman" w:hAnsi="Times New Roman"/>
          <w:sz w:val="24"/>
          <w:szCs w:val="24"/>
        </w:rPr>
        <w:t>esemény</w:t>
      </w:r>
      <w:r w:rsidR="00C35D4D" w:rsidRPr="00044AAF">
        <w:rPr>
          <w:rFonts w:ascii="Times New Roman" w:hAnsi="Times New Roman"/>
          <w:sz w:val="24"/>
          <w:szCs w:val="24"/>
        </w:rPr>
        <w:t xml:space="preserve"> </w:t>
      </w:r>
      <w:r w:rsidR="00ED4303" w:rsidRPr="00044AAF">
        <w:rPr>
          <w:rFonts w:ascii="Times New Roman" w:hAnsi="Times New Roman"/>
          <w:sz w:val="24"/>
          <w:szCs w:val="24"/>
        </w:rPr>
        <w:t>nem történt</w:t>
      </w:r>
      <w:r w:rsidRPr="00044A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8962FF" w14:textId="3830CFAA" w:rsidR="00CB42D9" w:rsidRDefault="001F52CD" w:rsidP="00CB4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Országosan </w:t>
      </w:r>
      <w:r w:rsidR="00BE4226">
        <w:rPr>
          <w:rFonts w:ascii="Times New Roman" w:hAnsi="Times New Roman"/>
          <w:sz w:val="24"/>
          <w:szCs w:val="24"/>
        </w:rPr>
        <w:t xml:space="preserve">az egyik legkiemelkedőbb </w:t>
      </w:r>
      <w:r>
        <w:rPr>
          <w:rFonts w:ascii="Times New Roman" w:hAnsi="Times New Roman"/>
          <w:sz w:val="24"/>
          <w:szCs w:val="24"/>
        </w:rPr>
        <w:t xml:space="preserve">számú </w:t>
      </w:r>
      <w:r w:rsidR="00BE4226">
        <w:rPr>
          <w:rFonts w:ascii="Times New Roman" w:hAnsi="Times New Roman"/>
          <w:sz w:val="24"/>
          <w:szCs w:val="24"/>
        </w:rPr>
        <w:t>káreseti tevékenységet végzi a</w:t>
      </w:r>
      <w:r>
        <w:rPr>
          <w:rFonts w:ascii="Times New Roman" w:hAnsi="Times New Roman"/>
          <w:sz w:val="24"/>
          <w:szCs w:val="24"/>
        </w:rPr>
        <w:t xml:space="preserve"> </w:t>
      </w:r>
      <w:r w:rsidR="00BE4226">
        <w:rPr>
          <w:rFonts w:ascii="Times New Roman" w:hAnsi="Times New Roman"/>
          <w:sz w:val="24"/>
          <w:szCs w:val="24"/>
        </w:rPr>
        <w:t xml:space="preserve">HTP. </w:t>
      </w:r>
      <w:r>
        <w:rPr>
          <w:rFonts w:ascii="Times New Roman" w:hAnsi="Times New Roman"/>
          <w:sz w:val="24"/>
          <w:szCs w:val="24"/>
        </w:rPr>
        <w:t>Az</w:t>
      </w:r>
      <w:r w:rsidR="00BC0696">
        <w:rPr>
          <w:rFonts w:ascii="Times New Roman" w:hAnsi="Times New Roman"/>
          <w:sz w:val="24"/>
          <w:szCs w:val="24"/>
        </w:rPr>
        <w:t xml:space="preserve"> adatok alapján </w:t>
      </w:r>
      <w:r w:rsidR="008C3E62">
        <w:rPr>
          <w:rFonts w:ascii="Times New Roman" w:hAnsi="Times New Roman"/>
          <w:sz w:val="24"/>
          <w:szCs w:val="24"/>
        </w:rPr>
        <w:t>a tűzoltóságnak a vonulási száma megegyezik</w:t>
      </w:r>
      <w:r w:rsidR="00212060">
        <w:rPr>
          <w:rFonts w:ascii="Times New Roman" w:hAnsi="Times New Roman"/>
          <w:sz w:val="24"/>
          <w:szCs w:val="24"/>
        </w:rPr>
        <w:t xml:space="preserve"> más </w:t>
      </w:r>
      <w:r w:rsidR="00EF3B54">
        <w:rPr>
          <w:rFonts w:ascii="Times New Roman" w:hAnsi="Times New Roman"/>
          <w:sz w:val="24"/>
          <w:szCs w:val="24"/>
        </w:rPr>
        <w:t>vár</w:t>
      </w:r>
      <w:r w:rsidR="008C3E62">
        <w:rPr>
          <w:rFonts w:ascii="Times New Roman" w:hAnsi="Times New Roman"/>
          <w:sz w:val="24"/>
          <w:szCs w:val="24"/>
        </w:rPr>
        <w:t>megyék vonulási számával</w:t>
      </w:r>
      <w:r w:rsidR="0085540F">
        <w:rPr>
          <w:rFonts w:ascii="Times New Roman" w:hAnsi="Times New Roman"/>
          <w:sz w:val="24"/>
          <w:szCs w:val="24"/>
        </w:rPr>
        <w:t xml:space="preserve"> (5. számú ábra)</w:t>
      </w:r>
      <w:r w:rsidR="008C3E62">
        <w:rPr>
          <w:rFonts w:ascii="Times New Roman" w:hAnsi="Times New Roman"/>
          <w:sz w:val="24"/>
          <w:szCs w:val="24"/>
        </w:rPr>
        <w:t xml:space="preserve">. </w:t>
      </w:r>
      <w:r w:rsidR="00C46386">
        <w:rPr>
          <w:rFonts w:ascii="Times New Roman" w:hAnsi="Times New Roman"/>
          <w:sz w:val="24"/>
          <w:szCs w:val="24"/>
        </w:rPr>
        <w:t>A m</w:t>
      </w:r>
      <w:r w:rsidR="00916597" w:rsidRPr="00C35D4D">
        <w:rPr>
          <w:rFonts w:ascii="Times New Roman" w:hAnsi="Times New Roman"/>
          <w:sz w:val="24"/>
          <w:szCs w:val="24"/>
        </w:rPr>
        <w:t>űködési t</w:t>
      </w:r>
      <w:r w:rsidR="00C46386">
        <w:rPr>
          <w:rFonts w:ascii="Times New Roman" w:hAnsi="Times New Roman"/>
          <w:sz w:val="24"/>
          <w:szCs w:val="24"/>
        </w:rPr>
        <w:t>erülete</w:t>
      </w:r>
      <w:r w:rsidR="00ED4303" w:rsidRPr="00C35D4D">
        <w:rPr>
          <w:rFonts w:ascii="Times New Roman" w:hAnsi="Times New Roman"/>
          <w:sz w:val="24"/>
          <w:szCs w:val="24"/>
        </w:rPr>
        <w:t xml:space="preserve">n </w:t>
      </w:r>
      <w:r w:rsidR="00044AAF">
        <w:rPr>
          <w:rFonts w:ascii="Times New Roman" w:hAnsi="Times New Roman"/>
          <w:b/>
          <w:sz w:val="24"/>
          <w:szCs w:val="24"/>
        </w:rPr>
        <w:t>1</w:t>
      </w:r>
      <w:r w:rsidR="005E11E3">
        <w:rPr>
          <w:rFonts w:ascii="Times New Roman" w:hAnsi="Times New Roman"/>
          <w:b/>
          <w:sz w:val="24"/>
          <w:szCs w:val="24"/>
        </w:rPr>
        <w:t>.</w:t>
      </w:r>
      <w:r w:rsidR="00044AAF">
        <w:rPr>
          <w:rFonts w:ascii="Times New Roman" w:hAnsi="Times New Roman"/>
          <w:b/>
          <w:sz w:val="24"/>
          <w:szCs w:val="24"/>
        </w:rPr>
        <w:t>513</w:t>
      </w:r>
      <w:r w:rsidR="00ED4303" w:rsidRPr="00657595">
        <w:rPr>
          <w:rFonts w:ascii="Times New Roman" w:hAnsi="Times New Roman"/>
          <w:b/>
          <w:sz w:val="24"/>
          <w:szCs w:val="24"/>
        </w:rPr>
        <w:t xml:space="preserve"> </w:t>
      </w:r>
      <w:r w:rsidR="00ED4303" w:rsidRPr="00C35D4D">
        <w:rPr>
          <w:rFonts w:ascii="Times New Roman" w:hAnsi="Times New Roman"/>
          <w:sz w:val="24"/>
          <w:szCs w:val="24"/>
        </w:rPr>
        <w:t xml:space="preserve">riasztás történt, </w:t>
      </w:r>
      <w:r w:rsidR="00786429" w:rsidRPr="00C35D4D">
        <w:rPr>
          <w:rFonts w:ascii="Times New Roman" w:hAnsi="Times New Roman"/>
          <w:sz w:val="24"/>
          <w:szCs w:val="24"/>
        </w:rPr>
        <w:t>ebből</w:t>
      </w:r>
      <w:r w:rsidR="00ED4303" w:rsidRPr="00C35D4D">
        <w:rPr>
          <w:rFonts w:ascii="Times New Roman" w:hAnsi="Times New Roman"/>
          <w:sz w:val="24"/>
          <w:szCs w:val="24"/>
        </w:rPr>
        <w:t xml:space="preserve"> </w:t>
      </w:r>
      <w:r w:rsidR="00044AAF" w:rsidRPr="00044AAF">
        <w:rPr>
          <w:rFonts w:ascii="Times New Roman" w:hAnsi="Times New Roman"/>
          <w:b/>
          <w:sz w:val="24"/>
          <w:szCs w:val="24"/>
        </w:rPr>
        <w:t>897</w:t>
      </w:r>
      <w:r w:rsidR="00786429" w:rsidRPr="00C35D4D">
        <w:rPr>
          <w:rFonts w:ascii="Times New Roman" w:hAnsi="Times New Roman"/>
          <w:sz w:val="24"/>
          <w:szCs w:val="24"/>
        </w:rPr>
        <w:t xml:space="preserve"> beavatkozást igénylő esemény volt.</w:t>
      </w:r>
      <w:r w:rsidR="00786429">
        <w:rPr>
          <w:rFonts w:ascii="Times New Roman" w:hAnsi="Times New Roman"/>
          <w:sz w:val="24"/>
          <w:szCs w:val="24"/>
        </w:rPr>
        <w:t xml:space="preserve"> </w:t>
      </w:r>
      <w:r w:rsidR="00212060">
        <w:rPr>
          <w:rFonts w:ascii="Times New Roman" w:hAnsi="Times New Roman"/>
          <w:sz w:val="24"/>
          <w:szCs w:val="24"/>
        </w:rPr>
        <w:t>T</w:t>
      </w:r>
      <w:r w:rsidR="00C12949">
        <w:rPr>
          <w:rFonts w:ascii="Times New Roman" w:hAnsi="Times New Roman"/>
          <w:sz w:val="24"/>
          <w:szCs w:val="24"/>
        </w:rPr>
        <w:t>öbb mint 6%-os csökkenés figyelhető meg 2022</w:t>
      </w:r>
      <w:r>
        <w:rPr>
          <w:rFonts w:ascii="Times New Roman" w:hAnsi="Times New Roman"/>
          <w:sz w:val="24"/>
          <w:szCs w:val="24"/>
        </w:rPr>
        <w:t>.</w:t>
      </w:r>
      <w:r w:rsidR="00C12949">
        <w:rPr>
          <w:rFonts w:ascii="Times New Roman" w:hAnsi="Times New Roman"/>
          <w:sz w:val="24"/>
          <w:szCs w:val="24"/>
        </w:rPr>
        <w:t xml:space="preserve"> évhez képes</w:t>
      </w:r>
      <w:r w:rsidR="00905807">
        <w:rPr>
          <w:rFonts w:ascii="Times New Roman" w:hAnsi="Times New Roman"/>
          <w:sz w:val="24"/>
          <w:szCs w:val="24"/>
        </w:rPr>
        <w:t>t</w:t>
      </w:r>
      <w:r w:rsidR="00C12949">
        <w:rPr>
          <w:rFonts w:ascii="Times New Roman" w:hAnsi="Times New Roman"/>
          <w:sz w:val="24"/>
          <w:szCs w:val="24"/>
        </w:rPr>
        <w:t xml:space="preserve">. </w:t>
      </w:r>
      <w:r w:rsidR="00C46386">
        <w:rPr>
          <w:rFonts w:ascii="Times New Roman" w:hAnsi="Times New Roman"/>
          <w:sz w:val="24"/>
          <w:szCs w:val="24"/>
        </w:rPr>
        <w:t xml:space="preserve">A </w:t>
      </w:r>
      <w:r w:rsidR="004025AB">
        <w:rPr>
          <w:rFonts w:ascii="Times New Roman" w:hAnsi="Times New Roman"/>
          <w:sz w:val="24"/>
          <w:szCs w:val="24"/>
        </w:rPr>
        <w:t>695</w:t>
      </w:r>
      <w:r w:rsidR="00786429" w:rsidRPr="008077AF">
        <w:rPr>
          <w:rFonts w:ascii="Times New Roman" w:hAnsi="Times New Roman"/>
          <w:sz w:val="24"/>
          <w:szCs w:val="24"/>
        </w:rPr>
        <w:t xml:space="preserve"> tűzeset</w:t>
      </w:r>
      <w:r w:rsidR="00CB42D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jelzés</w:t>
      </w:r>
      <w:r w:rsidR="00786429" w:rsidRPr="008077AF">
        <w:rPr>
          <w:rFonts w:ascii="Times New Roman" w:hAnsi="Times New Roman"/>
          <w:sz w:val="24"/>
          <w:szCs w:val="24"/>
        </w:rPr>
        <w:t xml:space="preserve">ből </w:t>
      </w:r>
      <w:r w:rsidR="004025AB">
        <w:rPr>
          <w:rFonts w:ascii="Times New Roman" w:hAnsi="Times New Roman"/>
          <w:sz w:val="24"/>
          <w:szCs w:val="24"/>
        </w:rPr>
        <w:t>266</w:t>
      </w:r>
      <w:r w:rsidR="00786429">
        <w:rPr>
          <w:rFonts w:ascii="Times New Roman" w:hAnsi="Times New Roman"/>
          <w:sz w:val="24"/>
          <w:szCs w:val="24"/>
        </w:rPr>
        <w:t xml:space="preserve"> beava</w:t>
      </w:r>
      <w:r w:rsidR="00C12949">
        <w:rPr>
          <w:rFonts w:ascii="Times New Roman" w:hAnsi="Times New Roman"/>
          <w:sz w:val="24"/>
          <w:szCs w:val="24"/>
        </w:rPr>
        <w:t xml:space="preserve">tkozást igénylő káresemény </w:t>
      </w:r>
      <w:r w:rsidR="00212060">
        <w:rPr>
          <w:rFonts w:ascii="Times New Roman" w:hAnsi="Times New Roman"/>
          <w:sz w:val="24"/>
          <w:szCs w:val="24"/>
        </w:rPr>
        <w:t>történt</w:t>
      </w:r>
      <w:r w:rsidR="00C12949">
        <w:rPr>
          <w:rFonts w:ascii="Times New Roman" w:hAnsi="Times New Roman"/>
          <w:sz w:val="24"/>
          <w:szCs w:val="24"/>
        </w:rPr>
        <w:t xml:space="preserve"> </w:t>
      </w:r>
      <w:r w:rsidR="0085540F">
        <w:rPr>
          <w:rFonts w:ascii="Times New Roman" w:hAnsi="Times New Roman"/>
          <w:sz w:val="24"/>
          <w:szCs w:val="24"/>
        </w:rPr>
        <w:t xml:space="preserve">(1. számú ábra). </w:t>
      </w:r>
      <w:r w:rsidR="00CB42D9">
        <w:rPr>
          <w:rFonts w:ascii="Times New Roman" w:hAnsi="Times New Roman"/>
          <w:sz w:val="24"/>
          <w:szCs w:val="24"/>
        </w:rPr>
        <w:t xml:space="preserve">A tűzeseti beavatkozások több mint 28%-kal csökkentek, köszönhetően </w:t>
      </w:r>
      <w:r w:rsidR="00905807">
        <w:rPr>
          <w:rFonts w:ascii="Times New Roman" w:hAnsi="Times New Roman"/>
          <w:sz w:val="24"/>
          <w:szCs w:val="24"/>
        </w:rPr>
        <w:t xml:space="preserve">a megelőző tájékoztatásnak és </w:t>
      </w:r>
      <w:r w:rsidR="00CB42D9">
        <w:rPr>
          <w:rFonts w:ascii="Times New Roman" w:hAnsi="Times New Roman"/>
          <w:sz w:val="24"/>
          <w:szCs w:val="24"/>
        </w:rPr>
        <w:t xml:space="preserve">a kedvező időjárási körülményeknek. </w:t>
      </w:r>
      <w:r w:rsidR="004025AB">
        <w:rPr>
          <w:rFonts w:ascii="Times New Roman" w:hAnsi="Times New Roman"/>
          <w:sz w:val="24"/>
          <w:szCs w:val="24"/>
        </w:rPr>
        <w:t>358</w:t>
      </w:r>
      <w:r w:rsidR="008B27BA">
        <w:rPr>
          <w:rFonts w:ascii="Times New Roman" w:hAnsi="Times New Roman"/>
          <w:sz w:val="24"/>
          <w:szCs w:val="24"/>
        </w:rPr>
        <w:t xml:space="preserve"> </w:t>
      </w:r>
      <w:r w:rsidR="00CB42D9">
        <w:rPr>
          <w:rFonts w:ascii="Times New Roman" w:hAnsi="Times New Roman"/>
          <w:sz w:val="24"/>
          <w:szCs w:val="24"/>
        </w:rPr>
        <w:t>esetben érkezett téves jelzés</w:t>
      </w:r>
      <w:r w:rsidR="00786429">
        <w:rPr>
          <w:rFonts w:ascii="Times New Roman" w:hAnsi="Times New Roman"/>
          <w:sz w:val="24"/>
          <w:szCs w:val="24"/>
        </w:rPr>
        <w:t xml:space="preserve">, </w:t>
      </w:r>
      <w:r w:rsidR="00CB42D9">
        <w:rPr>
          <w:rFonts w:ascii="Times New Roman" w:hAnsi="Times New Roman"/>
          <w:sz w:val="24"/>
          <w:szCs w:val="24"/>
        </w:rPr>
        <w:t xml:space="preserve">amely a </w:t>
      </w:r>
      <w:r w:rsidR="00E9167C">
        <w:rPr>
          <w:rFonts w:ascii="Times New Roman" w:hAnsi="Times New Roman"/>
          <w:sz w:val="24"/>
          <w:szCs w:val="24"/>
        </w:rPr>
        <w:t>2022</w:t>
      </w:r>
      <w:r w:rsidR="00CB42D9">
        <w:rPr>
          <w:rFonts w:ascii="Times New Roman" w:hAnsi="Times New Roman"/>
          <w:sz w:val="24"/>
          <w:szCs w:val="24"/>
        </w:rPr>
        <w:t>.</w:t>
      </w:r>
      <w:r w:rsidR="00E9167C">
        <w:rPr>
          <w:rFonts w:ascii="Times New Roman" w:hAnsi="Times New Roman"/>
          <w:sz w:val="24"/>
          <w:szCs w:val="24"/>
        </w:rPr>
        <w:t xml:space="preserve"> évhez képes</w:t>
      </w:r>
      <w:r w:rsidR="00212060">
        <w:rPr>
          <w:rFonts w:ascii="Times New Roman" w:hAnsi="Times New Roman"/>
          <w:sz w:val="24"/>
          <w:szCs w:val="24"/>
        </w:rPr>
        <w:t>t</w:t>
      </w:r>
      <w:r w:rsidR="00E9167C">
        <w:rPr>
          <w:rFonts w:ascii="Times New Roman" w:hAnsi="Times New Roman"/>
          <w:sz w:val="24"/>
          <w:szCs w:val="24"/>
        </w:rPr>
        <w:t xml:space="preserve"> közel 10%</w:t>
      </w:r>
      <w:r w:rsidR="00CB42D9">
        <w:rPr>
          <w:rFonts w:ascii="Times New Roman" w:hAnsi="Times New Roman"/>
          <w:sz w:val="24"/>
          <w:szCs w:val="24"/>
        </w:rPr>
        <w:t>-kal</w:t>
      </w:r>
      <w:r w:rsidR="00E9167C">
        <w:rPr>
          <w:rFonts w:ascii="Times New Roman" w:hAnsi="Times New Roman"/>
          <w:sz w:val="24"/>
          <w:szCs w:val="24"/>
        </w:rPr>
        <w:t xml:space="preserve"> csökkent. A lakosság öngondoskodása és a </w:t>
      </w:r>
      <w:r w:rsidR="00905807">
        <w:rPr>
          <w:rFonts w:ascii="Times New Roman" w:hAnsi="Times New Roman"/>
          <w:sz w:val="24"/>
          <w:szCs w:val="24"/>
        </w:rPr>
        <w:t>prevenciós</w:t>
      </w:r>
      <w:r w:rsidR="00E9167C">
        <w:rPr>
          <w:rFonts w:ascii="Times New Roman" w:hAnsi="Times New Roman"/>
          <w:sz w:val="24"/>
          <w:szCs w:val="24"/>
        </w:rPr>
        <w:t xml:space="preserve"> </w:t>
      </w:r>
      <w:r w:rsidR="00212060">
        <w:rPr>
          <w:rFonts w:ascii="Times New Roman" w:hAnsi="Times New Roman"/>
          <w:sz w:val="24"/>
          <w:szCs w:val="24"/>
        </w:rPr>
        <w:t>tájékoztatások</w:t>
      </w:r>
      <w:r w:rsidR="00CB42D9">
        <w:rPr>
          <w:rFonts w:ascii="Times New Roman" w:hAnsi="Times New Roman"/>
          <w:sz w:val="24"/>
          <w:szCs w:val="24"/>
        </w:rPr>
        <w:t xml:space="preserve"> miatt közel 20</w:t>
      </w:r>
      <w:r w:rsidR="00E9167C">
        <w:rPr>
          <w:rFonts w:ascii="Times New Roman" w:hAnsi="Times New Roman"/>
          <w:sz w:val="24"/>
          <w:szCs w:val="24"/>
        </w:rPr>
        <w:t>%</w:t>
      </w:r>
      <w:r w:rsidR="00CB42D9">
        <w:rPr>
          <w:rFonts w:ascii="Times New Roman" w:hAnsi="Times New Roman"/>
          <w:sz w:val="24"/>
          <w:szCs w:val="24"/>
        </w:rPr>
        <w:t>-kal</w:t>
      </w:r>
      <w:r w:rsidR="00E9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kevesebb</w:t>
      </w:r>
      <w:r w:rsidR="00E9167C">
        <w:rPr>
          <w:rFonts w:ascii="Times New Roman" w:hAnsi="Times New Roman"/>
          <w:sz w:val="24"/>
          <w:szCs w:val="24"/>
        </w:rPr>
        <w:t xml:space="preserve"> </w:t>
      </w:r>
      <w:r w:rsidR="00CB42D9">
        <w:rPr>
          <w:rFonts w:ascii="Times New Roman" w:hAnsi="Times New Roman"/>
          <w:sz w:val="24"/>
          <w:szCs w:val="24"/>
        </w:rPr>
        <w:t xml:space="preserve">a </w:t>
      </w:r>
      <w:r w:rsidR="00786429">
        <w:rPr>
          <w:rFonts w:ascii="Times New Roman" w:hAnsi="Times New Roman"/>
          <w:sz w:val="24"/>
          <w:szCs w:val="24"/>
        </w:rPr>
        <w:t>kiérkezés előtt felszámolt esemény</w:t>
      </w:r>
      <w:r w:rsidR="00E9167C">
        <w:rPr>
          <w:rFonts w:ascii="Times New Roman" w:hAnsi="Times New Roman"/>
          <w:sz w:val="24"/>
          <w:szCs w:val="24"/>
        </w:rPr>
        <w:t>ek száma.</w:t>
      </w:r>
      <w:r w:rsidR="00786429">
        <w:rPr>
          <w:rFonts w:ascii="Times New Roman" w:hAnsi="Times New Roman"/>
          <w:sz w:val="24"/>
          <w:szCs w:val="24"/>
        </w:rPr>
        <w:t xml:space="preserve"> </w:t>
      </w:r>
      <w:r w:rsidR="0085540F">
        <w:rPr>
          <w:rFonts w:ascii="Times New Roman" w:hAnsi="Times New Roman"/>
          <w:sz w:val="24"/>
          <w:szCs w:val="24"/>
        </w:rPr>
        <w:t xml:space="preserve">Otthon jellegű tüzek száma </w:t>
      </w:r>
      <w:r w:rsidR="00205CA4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eset volt, ami 25</w:t>
      </w:r>
      <w:r w:rsidR="00205CA4">
        <w:rPr>
          <w:rFonts w:ascii="Times New Roman" w:hAnsi="Times New Roman"/>
          <w:sz w:val="24"/>
          <w:szCs w:val="24"/>
        </w:rPr>
        <w:t>%</w:t>
      </w:r>
      <w:r w:rsidR="00212060">
        <w:rPr>
          <w:rFonts w:ascii="Times New Roman" w:hAnsi="Times New Roman"/>
          <w:sz w:val="24"/>
          <w:szCs w:val="24"/>
        </w:rPr>
        <w:t>-os</w:t>
      </w:r>
      <w:r w:rsidR="00205CA4">
        <w:rPr>
          <w:rFonts w:ascii="Times New Roman" w:hAnsi="Times New Roman"/>
          <w:sz w:val="24"/>
          <w:szCs w:val="24"/>
        </w:rPr>
        <w:t xml:space="preserve"> csökkenő tendenciát mutat </w:t>
      </w:r>
      <w:r>
        <w:rPr>
          <w:rFonts w:ascii="Times New Roman" w:hAnsi="Times New Roman"/>
          <w:sz w:val="24"/>
          <w:szCs w:val="24"/>
        </w:rPr>
        <w:t xml:space="preserve">az előző </w:t>
      </w:r>
      <w:r w:rsidR="00205CA4">
        <w:rPr>
          <w:rFonts w:ascii="Times New Roman" w:hAnsi="Times New Roman"/>
          <w:sz w:val="24"/>
          <w:szCs w:val="24"/>
        </w:rPr>
        <w:t>évhez képest.</w:t>
      </w:r>
      <w:r w:rsidR="0085540F">
        <w:rPr>
          <w:rFonts w:ascii="Times New Roman" w:hAnsi="Times New Roman"/>
          <w:sz w:val="24"/>
          <w:szCs w:val="24"/>
        </w:rPr>
        <w:t xml:space="preserve"> </w:t>
      </w:r>
      <w:r w:rsidR="00B5392B" w:rsidRPr="00B5392B">
        <w:rPr>
          <w:rFonts w:ascii="Times New Roman" w:hAnsi="Times New Roman"/>
          <w:sz w:val="24"/>
          <w:szCs w:val="24"/>
        </w:rPr>
        <w:t>A tüzek az alábbi vélelmezett keletkez</w:t>
      </w:r>
      <w:r w:rsidR="00532A22">
        <w:rPr>
          <w:rFonts w:ascii="Times New Roman" w:hAnsi="Times New Roman"/>
          <w:sz w:val="24"/>
          <w:szCs w:val="24"/>
        </w:rPr>
        <w:t xml:space="preserve">ési okokra vezethetők vissza: </w:t>
      </w:r>
      <w:r w:rsidR="00B5392B" w:rsidRPr="00B5392B">
        <w:rPr>
          <w:rFonts w:ascii="Times New Roman" w:hAnsi="Times New Roman"/>
          <w:sz w:val="24"/>
          <w:szCs w:val="24"/>
        </w:rPr>
        <w:t>nyílt lángú világító eszköz</w:t>
      </w:r>
      <w:r w:rsidR="00C46386">
        <w:rPr>
          <w:rFonts w:ascii="Times New Roman" w:hAnsi="Times New Roman"/>
          <w:sz w:val="24"/>
          <w:szCs w:val="24"/>
        </w:rPr>
        <w:t>ök</w:t>
      </w:r>
      <w:r w:rsidR="00B5392B" w:rsidRPr="00B5392B">
        <w:rPr>
          <w:rFonts w:ascii="Times New Roman" w:hAnsi="Times New Roman"/>
          <w:sz w:val="24"/>
          <w:szCs w:val="24"/>
        </w:rPr>
        <w:t xml:space="preserve"> szabálytalan használata, téli időszakban megnőtt emberi gondatlanság, a szabálytalan tüzelő-fűtő berendezések használata, a tárolási szabályok megszegése, a lakóépületek elöregedett</w:t>
      </w:r>
      <w:r w:rsidR="00C46386">
        <w:rPr>
          <w:rFonts w:ascii="Times New Roman" w:hAnsi="Times New Roman"/>
          <w:sz w:val="24"/>
          <w:szCs w:val="24"/>
        </w:rPr>
        <w:t xml:space="preserve"> jellege</w:t>
      </w:r>
      <w:r w:rsidR="00B5392B" w:rsidRPr="00B5392B">
        <w:rPr>
          <w:rFonts w:ascii="Times New Roman" w:hAnsi="Times New Roman"/>
          <w:sz w:val="24"/>
          <w:szCs w:val="24"/>
        </w:rPr>
        <w:t>, túlterhelt elektromos hálózata, dohányzás</w:t>
      </w:r>
      <w:r w:rsidR="00532A22">
        <w:rPr>
          <w:rFonts w:ascii="Times New Roman" w:hAnsi="Times New Roman"/>
          <w:sz w:val="24"/>
          <w:szCs w:val="24"/>
        </w:rPr>
        <w:t>.</w:t>
      </w:r>
      <w:r w:rsidR="00B5392B" w:rsidRPr="00B5392B">
        <w:rPr>
          <w:rFonts w:ascii="Times New Roman" w:hAnsi="Times New Roman"/>
          <w:sz w:val="24"/>
          <w:szCs w:val="24"/>
        </w:rPr>
        <w:t xml:space="preserve"> </w:t>
      </w:r>
    </w:p>
    <w:p w14:paraId="6CF458AF" w14:textId="77777777" w:rsidR="009555B6" w:rsidRDefault="009555B6" w:rsidP="00CB4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6933A" w14:textId="77777777" w:rsidR="009555B6" w:rsidRDefault="009555B6" w:rsidP="009555B6">
      <w:pPr>
        <w:spacing w:after="0" w:line="240" w:lineRule="auto"/>
        <w:jc w:val="center"/>
        <w:rPr>
          <w:lang w:eastAsia="hu-H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947"/>
        <w:gridCol w:w="850"/>
        <w:gridCol w:w="992"/>
        <w:gridCol w:w="1134"/>
        <w:gridCol w:w="2977"/>
      </w:tblGrid>
      <w:tr w:rsidR="009555B6" w:rsidRPr="00763E94" w14:paraId="2C002EC1" w14:textId="77777777" w:rsidTr="009555B6">
        <w:tc>
          <w:tcPr>
            <w:tcW w:w="1888" w:type="dxa"/>
            <w:shd w:val="clear" w:color="auto" w:fill="auto"/>
          </w:tcPr>
          <w:p w14:paraId="232AE91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94">
              <w:rPr>
                <w:rFonts w:ascii="Times New Roman" w:hAnsi="Times New Roman"/>
                <w:b/>
                <w:color w:val="000000"/>
              </w:rPr>
              <w:t>Település</w:t>
            </w:r>
          </w:p>
        </w:tc>
        <w:tc>
          <w:tcPr>
            <w:tcW w:w="1797" w:type="dxa"/>
            <w:gridSpan w:val="2"/>
            <w:shd w:val="clear" w:color="auto" w:fill="auto"/>
          </w:tcPr>
          <w:p w14:paraId="403C1894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94">
              <w:rPr>
                <w:rFonts w:ascii="Times New Roman" w:hAnsi="Times New Roman"/>
                <w:b/>
                <w:color w:val="000000"/>
              </w:rPr>
              <w:t>Tűzeset</w:t>
            </w:r>
            <w:r w:rsidRPr="00763E94">
              <w:rPr>
                <w:rFonts w:ascii="Times New Roman" w:hAnsi="Times New Roman"/>
                <w:b/>
                <w:color w:val="000000"/>
              </w:rPr>
              <w:br/>
              <w:t>2022.         2023.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87B2B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94">
              <w:rPr>
                <w:rFonts w:ascii="Times New Roman" w:hAnsi="Times New Roman"/>
                <w:b/>
                <w:color w:val="000000"/>
              </w:rPr>
              <w:t>Műszaki Mentés</w:t>
            </w:r>
          </w:p>
          <w:p w14:paraId="5CE0053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94">
              <w:rPr>
                <w:rFonts w:ascii="Times New Roman" w:hAnsi="Times New Roman"/>
                <w:b/>
                <w:color w:val="000000"/>
              </w:rPr>
              <w:t>2022.             2023.</w:t>
            </w:r>
          </w:p>
        </w:tc>
        <w:tc>
          <w:tcPr>
            <w:tcW w:w="2977" w:type="dxa"/>
            <w:shd w:val="clear" w:color="auto" w:fill="auto"/>
          </w:tcPr>
          <w:p w14:paraId="1935476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94">
              <w:rPr>
                <w:rFonts w:ascii="Times New Roman" w:hAnsi="Times New Roman"/>
                <w:b/>
                <w:color w:val="000000"/>
              </w:rPr>
              <w:t>Megjegyzés</w:t>
            </w:r>
          </w:p>
        </w:tc>
      </w:tr>
      <w:tr w:rsidR="009555B6" w:rsidRPr="00763E94" w14:paraId="65B9355A" w14:textId="77777777" w:rsidTr="009555B6">
        <w:tc>
          <w:tcPr>
            <w:tcW w:w="1888" w:type="dxa"/>
            <w:shd w:val="clear" w:color="auto" w:fill="auto"/>
            <w:vAlign w:val="bottom"/>
          </w:tcPr>
          <w:p w14:paraId="1E0E65C7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29633798" w14:textId="77777777" w:rsidR="009555B6" w:rsidRPr="00941412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1412">
              <w:rPr>
                <w:rFonts w:ascii="Times New Roman" w:hAnsi="Times New Roman"/>
                <w:b/>
                <w:color w:val="000000"/>
              </w:rPr>
              <w:t>db</w:t>
            </w:r>
          </w:p>
        </w:tc>
        <w:tc>
          <w:tcPr>
            <w:tcW w:w="850" w:type="dxa"/>
          </w:tcPr>
          <w:p w14:paraId="5E5893D0" w14:textId="77777777" w:rsidR="009555B6" w:rsidRPr="00941412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1412">
              <w:rPr>
                <w:rFonts w:ascii="Times New Roman" w:hAnsi="Times New Roman"/>
                <w:b/>
                <w:color w:val="000000"/>
              </w:rPr>
              <w:t>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2B8B5A" w14:textId="77777777" w:rsidR="009555B6" w:rsidRPr="00941412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1412">
              <w:rPr>
                <w:rFonts w:ascii="Times New Roman" w:hAnsi="Times New Roman"/>
                <w:b/>
                <w:color w:val="000000"/>
              </w:rPr>
              <w:t>db</w:t>
            </w:r>
          </w:p>
        </w:tc>
        <w:tc>
          <w:tcPr>
            <w:tcW w:w="1134" w:type="dxa"/>
          </w:tcPr>
          <w:p w14:paraId="2C8DA7AE" w14:textId="77777777" w:rsidR="009555B6" w:rsidRPr="00941412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1412">
              <w:rPr>
                <w:rFonts w:ascii="Times New Roman" w:hAnsi="Times New Roman"/>
                <w:b/>
                <w:color w:val="000000"/>
              </w:rPr>
              <w:t>db</w:t>
            </w:r>
          </w:p>
        </w:tc>
        <w:tc>
          <w:tcPr>
            <w:tcW w:w="2977" w:type="dxa"/>
            <w:shd w:val="clear" w:color="auto" w:fill="auto"/>
          </w:tcPr>
          <w:p w14:paraId="5166899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41571D9F" w14:textId="77777777" w:rsidTr="009555B6">
        <w:tc>
          <w:tcPr>
            <w:tcW w:w="1888" w:type="dxa"/>
            <w:shd w:val="clear" w:color="auto" w:fill="auto"/>
            <w:vAlign w:val="bottom"/>
          </w:tcPr>
          <w:p w14:paraId="0D40B330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Baracska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626E4B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14:paraId="1D214E1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BDD41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14:paraId="0A7E93B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34F54B50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3BA5D56F" w14:textId="77777777" w:rsidTr="009555B6">
        <w:tc>
          <w:tcPr>
            <w:tcW w:w="1888" w:type="dxa"/>
            <w:shd w:val="clear" w:color="auto" w:fill="auto"/>
            <w:vAlign w:val="bottom"/>
          </w:tcPr>
          <w:p w14:paraId="46182345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Biatorbágy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270DE4F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50" w:type="dxa"/>
          </w:tcPr>
          <w:p w14:paraId="5B1665FF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53C84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14:paraId="7A37CB3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14:paraId="497C2BB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12551770" w14:textId="77777777" w:rsidTr="009555B6">
        <w:tc>
          <w:tcPr>
            <w:tcW w:w="1888" w:type="dxa"/>
            <w:shd w:val="clear" w:color="auto" w:fill="auto"/>
            <w:vAlign w:val="bottom"/>
          </w:tcPr>
          <w:p w14:paraId="63F9E7E0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Budaörs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541737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</w:tcPr>
          <w:p w14:paraId="3AF65B3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162A6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4" w:type="dxa"/>
          </w:tcPr>
          <w:p w14:paraId="256611C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14:paraId="57C3EC8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48E33D44" w14:textId="77777777" w:rsidTr="009555B6">
        <w:tc>
          <w:tcPr>
            <w:tcW w:w="1888" w:type="dxa"/>
            <w:shd w:val="clear" w:color="auto" w:fill="auto"/>
            <w:vAlign w:val="bottom"/>
          </w:tcPr>
          <w:p w14:paraId="6570DFDA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Diósd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3648A8EE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14:paraId="1C857A2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AC96F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14:paraId="432774C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5BB85009" w14:textId="77556276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0FCA0C98" w14:textId="77777777" w:rsidTr="009555B6">
        <w:tc>
          <w:tcPr>
            <w:tcW w:w="1888" w:type="dxa"/>
            <w:shd w:val="clear" w:color="auto" w:fill="auto"/>
            <w:vAlign w:val="bottom"/>
          </w:tcPr>
          <w:p w14:paraId="50B224EE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Ercsi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D3FA663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850" w:type="dxa"/>
          </w:tcPr>
          <w:p w14:paraId="6DDEFB54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5CBDC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14:paraId="66E9434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14:paraId="1DC7A9CE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3636FD21" w14:textId="77777777" w:rsidTr="009555B6">
        <w:tc>
          <w:tcPr>
            <w:tcW w:w="1888" w:type="dxa"/>
            <w:shd w:val="clear" w:color="auto" w:fill="auto"/>
            <w:vAlign w:val="bottom"/>
          </w:tcPr>
          <w:p w14:paraId="5551E501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Érd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1CB43A3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0" w:type="dxa"/>
          </w:tcPr>
          <w:p w14:paraId="2DEE89C0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2753CE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</w:tcPr>
          <w:p w14:paraId="06C6E380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241</w:t>
            </w:r>
          </w:p>
        </w:tc>
        <w:tc>
          <w:tcPr>
            <w:tcW w:w="2977" w:type="dxa"/>
            <w:shd w:val="clear" w:color="auto" w:fill="auto"/>
          </w:tcPr>
          <w:p w14:paraId="17125AED" w14:textId="5F68B396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65B3B711" w14:textId="77777777" w:rsidTr="009555B6">
        <w:tc>
          <w:tcPr>
            <w:tcW w:w="1888" w:type="dxa"/>
            <w:shd w:val="clear" w:color="auto" w:fill="auto"/>
            <w:vAlign w:val="bottom"/>
          </w:tcPr>
          <w:p w14:paraId="7699BC51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Etyek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2DA6DC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14:paraId="10B1688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0477C4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14:paraId="23734776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1889489F" w14:textId="28B1BB10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105A9855" w14:textId="77777777" w:rsidTr="009555B6">
        <w:tc>
          <w:tcPr>
            <w:tcW w:w="1888" w:type="dxa"/>
            <w:shd w:val="clear" w:color="auto" w:fill="auto"/>
            <w:vAlign w:val="bottom"/>
          </w:tcPr>
          <w:p w14:paraId="3A82EB51" w14:textId="77777777" w:rsidR="009555B6" w:rsidRPr="00763E94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Gyúró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B8A666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</w:tcPr>
          <w:p w14:paraId="17867CE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73098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140744D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0BA910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55267890" w14:textId="77777777" w:rsidTr="009555B6">
        <w:tc>
          <w:tcPr>
            <w:tcW w:w="1888" w:type="dxa"/>
            <w:shd w:val="clear" w:color="auto" w:fill="auto"/>
            <w:vAlign w:val="bottom"/>
          </w:tcPr>
          <w:p w14:paraId="7E929FBC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Herceghalom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A06F71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</w:tcPr>
          <w:p w14:paraId="5842962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876416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14:paraId="1E17548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00123276" w14:textId="357F7B56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0FF215FA" w14:textId="77777777" w:rsidTr="009555B6">
        <w:tc>
          <w:tcPr>
            <w:tcW w:w="1888" w:type="dxa"/>
            <w:shd w:val="clear" w:color="auto" w:fill="auto"/>
            <w:vAlign w:val="bottom"/>
          </w:tcPr>
          <w:p w14:paraId="3FEBFFC9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Kajászó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BC0907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14:paraId="05732C4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75793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14:paraId="6BB88813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21493139" w14:textId="4A8CFCA6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318FDE30" w14:textId="77777777" w:rsidTr="009555B6">
        <w:tc>
          <w:tcPr>
            <w:tcW w:w="1888" w:type="dxa"/>
            <w:shd w:val="clear" w:color="auto" w:fill="auto"/>
            <w:vAlign w:val="bottom"/>
          </w:tcPr>
          <w:p w14:paraId="5541C91F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Martonvásár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7CD980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</w:tcPr>
          <w:p w14:paraId="054E48B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487E3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231E760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62A36613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3914984B" w14:textId="77777777" w:rsidTr="009555B6">
        <w:tc>
          <w:tcPr>
            <w:tcW w:w="1888" w:type="dxa"/>
            <w:shd w:val="clear" w:color="auto" w:fill="auto"/>
            <w:vAlign w:val="bottom"/>
          </w:tcPr>
          <w:p w14:paraId="774BB7DE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Páty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2ED9B716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14:paraId="71518F2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ED7B9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14:paraId="11AA771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14:paraId="53A697A6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3951D3B1" w14:textId="77777777" w:rsidTr="009555B6">
        <w:tc>
          <w:tcPr>
            <w:tcW w:w="1888" w:type="dxa"/>
            <w:shd w:val="clear" w:color="auto" w:fill="auto"/>
            <w:vAlign w:val="bottom"/>
          </w:tcPr>
          <w:p w14:paraId="662338AE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Pusztazámor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70425754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14:paraId="3C1D35D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A74A8D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77E3EE1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E310320" w14:textId="5A0B6D85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715D827B" w14:textId="77777777" w:rsidTr="009555B6">
        <w:tc>
          <w:tcPr>
            <w:tcW w:w="1888" w:type="dxa"/>
            <w:shd w:val="clear" w:color="auto" w:fill="auto"/>
            <w:vAlign w:val="bottom"/>
          </w:tcPr>
          <w:p w14:paraId="13330AE4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Ráckeresztúr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28357B4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14:paraId="26C76AAD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54297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14:paraId="76C6AF89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3F4912A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71DCB546" w14:textId="77777777" w:rsidTr="009555B6">
        <w:tc>
          <w:tcPr>
            <w:tcW w:w="1888" w:type="dxa"/>
            <w:shd w:val="clear" w:color="auto" w:fill="auto"/>
            <w:vAlign w:val="bottom"/>
          </w:tcPr>
          <w:p w14:paraId="2B63A584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Sóskút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28D1841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14:paraId="08C5E0C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4C9AB1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</w:tcPr>
          <w:p w14:paraId="57D749D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7937EF1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43D4EAB3" w14:textId="77777777" w:rsidTr="009555B6">
        <w:tc>
          <w:tcPr>
            <w:tcW w:w="1888" w:type="dxa"/>
            <w:shd w:val="clear" w:color="auto" w:fill="auto"/>
            <w:vAlign w:val="bottom"/>
          </w:tcPr>
          <w:p w14:paraId="3B232FF2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Százhalombatta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FF337F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14:paraId="40B6215F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2B06E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14:paraId="5BB50AD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4B6D86B0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4FD0F1BB" w14:textId="77777777" w:rsidTr="009555B6">
        <w:tc>
          <w:tcPr>
            <w:tcW w:w="1888" w:type="dxa"/>
            <w:shd w:val="clear" w:color="auto" w:fill="auto"/>
            <w:vAlign w:val="bottom"/>
          </w:tcPr>
          <w:p w14:paraId="5A3CA9EB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Tárnok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44F94D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</w:tcPr>
          <w:p w14:paraId="5C0E726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47688E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</w:tcPr>
          <w:p w14:paraId="1B82DD97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14:paraId="067BA0B5" w14:textId="5461DF54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1469D3C9" w14:textId="77777777" w:rsidTr="009555B6">
        <w:tc>
          <w:tcPr>
            <w:tcW w:w="1888" w:type="dxa"/>
            <w:shd w:val="clear" w:color="auto" w:fill="auto"/>
            <w:vAlign w:val="bottom"/>
          </w:tcPr>
          <w:p w14:paraId="1DD672B2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Tordas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6FACF62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14:paraId="1EF2CFB3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16CB7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14:paraId="59893C7F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0E2B5EC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55B6" w:rsidRPr="00763E94" w14:paraId="6C10416F" w14:textId="77777777" w:rsidTr="009555B6">
        <w:tc>
          <w:tcPr>
            <w:tcW w:w="1888" w:type="dxa"/>
            <w:shd w:val="clear" w:color="auto" w:fill="auto"/>
            <w:vAlign w:val="bottom"/>
          </w:tcPr>
          <w:p w14:paraId="3AEE9093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Törökbálint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D2D327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</w:tcPr>
          <w:p w14:paraId="79F65705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755FD0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14:paraId="03E9984A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33840DC0" w14:textId="1ED7ABB2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Fejér vármegye</w:t>
            </w:r>
          </w:p>
        </w:tc>
      </w:tr>
      <w:tr w:rsidR="009555B6" w:rsidRPr="00763E94" w14:paraId="6B989475" w14:textId="77777777" w:rsidTr="009555B6">
        <w:tc>
          <w:tcPr>
            <w:tcW w:w="1888" w:type="dxa"/>
            <w:shd w:val="clear" w:color="auto" w:fill="auto"/>
            <w:vAlign w:val="bottom"/>
          </w:tcPr>
          <w:p w14:paraId="46AB327D" w14:textId="77777777" w:rsidR="009555B6" w:rsidRDefault="009555B6" w:rsidP="009555B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Vál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30BCC64B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14:paraId="550FFFC4" w14:textId="77777777" w:rsidR="009555B6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D3D7D8" w14:textId="77777777" w:rsidR="009555B6" w:rsidRPr="00763E94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14:paraId="170C6AEA" w14:textId="77777777" w:rsidR="009555B6" w:rsidRDefault="009555B6" w:rsidP="00955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526E46A2" w14:textId="77777777" w:rsidR="009555B6" w:rsidRDefault="009555B6" w:rsidP="009555B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57C4C8B" w14:textId="77777777" w:rsidR="009555B6" w:rsidRPr="009555B6" w:rsidRDefault="009555B6" w:rsidP="009555B6">
      <w:pPr>
        <w:spacing w:after="0" w:line="240" w:lineRule="auto"/>
        <w:jc w:val="center"/>
        <w:rPr>
          <w:bCs/>
          <w:lang w:eastAsia="hu-HU"/>
        </w:rPr>
      </w:pPr>
      <w:r w:rsidRPr="009555B6">
        <w:rPr>
          <w:bCs/>
          <w:lang w:eastAsia="hu-HU"/>
        </w:rPr>
        <w:t>Működési területen lévő települések káreseményeinek száma</w:t>
      </w:r>
    </w:p>
    <w:p w14:paraId="08321C82" w14:textId="77777777" w:rsidR="009555B6" w:rsidRPr="009555B6" w:rsidRDefault="009555B6" w:rsidP="00CB4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796DA" w14:textId="77777777" w:rsidR="001F52CD" w:rsidRDefault="00B5392B" w:rsidP="00CB4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5392B">
        <w:rPr>
          <w:rFonts w:ascii="Times New Roman" w:hAnsi="Times New Roman"/>
          <w:sz w:val="24"/>
          <w:szCs w:val="24"/>
        </w:rPr>
        <w:t>iemelt figyelmet fordítottunk a lakóingatlanokon bekövetkezett tűzesetek hatékony felszámolására, az események elemzésének segítségével a lakosságtájékoztató és figyelemfelhívó tevékenységünk folyamatos fejlesztésére.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45F337" w14:textId="272B09DB" w:rsidR="001B478E" w:rsidRDefault="004025AB" w:rsidP="00CB4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="005C7713">
        <w:rPr>
          <w:rFonts w:ascii="Times New Roman" w:hAnsi="Times New Roman"/>
          <w:sz w:val="24"/>
          <w:szCs w:val="24"/>
        </w:rPr>
        <w:t xml:space="preserve"> esetbe</w:t>
      </w:r>
      <w:r w:rsidR="003D62BB">
        <w:rPr>
          <w:rFonts w:ascii="Times New Roman" w:hAnsi="Times New Roman"/>
          <w:sz w:val="24"/>
          <w:szCs w:val="24"/>
        </w:rPr>
        <w:t>n</w:t>
      </w:r>
      <w:r w:rsidR="005C7713">
        <w:rPr>
          <w:rFonts w:ascii="Times New Roman" w:hAnsi="Times New Roman"/>
          <w:sz w:val="24"/>
          <w:szCs w:val="24"/>
        </w:rPr>
        <w:t xml:space="preserve"> </w:t>
      </w:r>
      <w:r w:rsidR="001F52CD">
        <w:rPr>
          <w:rFonts w:ascii="Times New Roman" w:hAnsi="Times New Roman"/>
          <w:sz w:val="24"/>
          <w:szCs w:val="24"/>
        </w:rPr>
        <w:t xml:space="preserve">történt </w:t>
      </w:r>
      <w:r w:rsidR="005C7713">
        <w:rPr>
          <w:rFonts w:ascii="Times New Roman" w:hAnsi="Times New Roman"/>
          <w:sz w:val="24"/>
          <w:szCs w:val="24"/>
        </w:rPr>
        <w:t>szabadtéri tűzeset,</w:t>
      </w:r>
      <w:r w:rsidR="00342E25" w:rsidRPr="00342E25">
        <w:rPr>
          <w:rFonts w:ascii="Times New Roman" w:hAnsi="Times New Roman"/>
          <w:sz w:val="24"/>
          <w:szCs w:val="24"/>
        </w:rPr>
        <w:t xml:space="preserve"> </w:t>
      </w:r>
      <w:r w:rsidR="001F52CD">
        <w:rPr>
          <w:rFonts w:ascii="Times New Roman" w:hAnsi="Times New Roman"/>
          <w:sz w:val="24"/>
          <w:szCs w:val="24"/>
        </w:rPr>
        <w:t xml:space="preserve">amely </w:t>
      </w:r>
      <w:r w:rsidR="00856700">
        <w:rPr>
          <w:rFonts w:ascii="Times New Roman" w:hAnsi="Times New Roman"/>
          <w:sz w:val="24"/>
          <w:szCs w:val="24"/>
        </w:rPr>
        <w:t xml:space="preserve">az </w:t>
      </w:r>
      <w:r w:rsidR="001F52CD">
        <w:rPr>
          <w:rFonts w:ascii="Times New Roman" w:hAnsi="Times New Roman"/>
          <w:sz w:val="24"/>
          <w:szCs w:val="24"/>
        </w:rPr>
        <w:t>előző évhez képest 43</w:t>
      </w:r>
      <w:r w:rsidR="0085540F">
        <w:rPr>
          <w:rFonts w:ascii="Times New Roman" w:hAnsi="Times New Roman"/>
          <w:sz w:val="24"/>
          <w:szCs w:val="24"/>
        </w:rPr>
        <w:t>%</w:t>
      </w:r>
      <w:r w:rsidR="001F52CD">
        <w:rPr>
          <w:rFonts w:ascii="Times New Roman" w:hAnsi="Times New Roman"/>
          <w:sz w:val="24"/>
          <w:szCs w:val="24"/>
        </w:rPr>
        <w:t>-kal</w:t>
      </w:r>
      <w:r w:rsidR="0085540F">
        <w:rPr>
          <w:rFonts w:ascii="Times New Roman" w:hAnsi="Times New Roman"/>
          <w:sz w:val="24"/>
          <w:szCs w:val="24"/>
        </w:rPr>
        <w:t xml:space="preserve"> kevesebb. </w:t>
      </w:r>
      <w:r w:rsidR="001F52CD">
        <w:rPr>
          <w:rFonts w:ascii="Times New Roman" w:hAnsi="Times New Roman"/>
          <w:sz w:val="24"/>
          <w:szCs w:val="24"/>
        </w:rPr>
        <w:t xml:space="preserve">A csökkenést a </w:t>
      </w:r>
      <w:r w:rsidR="00905807">
        <w:rPr>
          <w:rFonts w:ascii="Times New Roman" w:hAnsi="Times New Roman"/>
          <w:sz w:val="24"/>
          <w:szCs w:val="24"/>
        </w:rPr>
        <w:t>prevenció és az időjárási körülmények eredményezték</w:t>
      </w:r>
      <w:r w:rsidR="001F52CD">
        <w:rPr>
          <w:rFonts w:ascii="Times New Roman" w:hAnsi="Times New Roman"/>
          <w:sz w:val="24"/>
          <w:szCs w:val="24"/>
        </w:rPr>
        <w:t>.  Ercsi településen 2023-ban (</w:t>
      </w:r>
      <w:r w:rsidR="00CE2C2D">
        <w:rPr>
          <w:rFonts w:ascii="Times New Roman" w:hAnsi="Times New Roman"/>
          <w:sz w:val="24"/>
          <w:szCs w:val="24"/>
        </w:rPr>
        <w:t>75</w:t>
      </w:r>
      <w:r w:rsidR="001F52CD">
        <w:rPr>
          <w:rFonts w:ascii="Times New Roman" w:hAnsi="Times New Roman"/>
          <w:sz w:val="24"/>
          <w:szCs w:val="24"/>
        </w:rPr>
        <w:t>) esetben</w:t>
      </w:r>
      <w:r w:rsidR="001912CA">
        <w:rPr>
          <w:rFonts w:ascii="Times New Roman" w:hAnsi="Times New Roman"/>
          <w:sz w:val="24"/>
          <w:szCs w:val="24"/>
        </w:rPr>
        <w:t xml:space="preserve"> kellett beavatkoznunk</w:t>
      </w:r>
      <w:r w:rsidR="001F52CD">
        <w:rPr>
          <w:rFonts w:ascii="Times New Roman" w:hAnsi="Times New Roman"/>
          <w:sz w:val="24"/>
          <w:szCs w:val="24"/>
        </w:rPr>
        <w:t xml:space="preserve"> a 2022. év </w:t>
      </w:r>
      <w:r w:rsidR="00D0774E">
        <w:rPr>
          <w:rFonts w:ascii="Times New Roman" w:hAnsi="Times New Roman"/>
          <w:sz w:val="24"/>
          <w:szCs w:val="24"/>
        </w:rPr>
        <w:t xml:space="preserve">kiugró </w:t>
      </w:r>
      <w:r w:rsidR="001F52CD">
        <w:rPr>
          <w:rFonts w:ascii="Times New Roman" w:hAnsi="Times New Roman"/>
          <w:sz w:val="24"/>
          <w:szCs w:val="24"/>
        </w:rPr>
        <w:t>adatához képest (</w:t>
      </w:r>
      <w:r w:rsidR="00CE2C2D">
        <w:rPr>
          <w:rFonts w:ascii="Times New Roman" w:hAnsi="Times New Roman"/>
          <w:sz w:val="24"/>
          <w:szCs w:val="24"/>
        </w:rPr>
        <w:t>129</w:t>
      </w:r>
      <w:r w:rsidR="001F52CD">
        <w:rPr>
          <w:rFonts w:ascii="Times New Roman" w:hAnsi="Times New Roman"/>
          <w:sz w:val="24"/>
          <w:szCs w:val="24"/>
        </w:rPr>
        <w:t xml:space="preserve"> eset), amely a t</w:t>
      </w:r>
      <w:r w:rsidR="00212060">
        <w:rPr>
          <w:rFonts w:ascii="Times New Roman" w:hAnsi="Times New Roman"/>
          <w:sz w:val="24"/>
          <w:szCs w:val="24"/>
        </w:rPr>
        <w:t>öbbszöri</w:t>
      </w:r>
      <w:r w:rsidR="00905807">
        <w:rPr>
          <w:rFonts w:ascii="Times New Roman" w:hAnsi="Times New Roman"/>
          <w:sz w:val="24"/>
          <w:szCs w:val="24"/>
        </w:rPr>
        <w:t xml:space="preserve"> </w:t>
      </w:r>
      <w:r w:rsidR="001F52CD">
        <w:rPr>
          <w:rFonts w:ascii="Times New Roman" w:hAnsi="Times New Roman"/>
          <w:sz w:val="24"/>
          <w:szCs w:val="24"/>
        </w:rPr>
        <w:t xml:space="preserve">egyeztetésnek és tájékoztatásnak köszönhető. </w:t>
      </w:r>
      <w:r>
        <w:rPr>
          <w:rFonts w:ascii="Times New Roman" w:hAnsi="Times New Roman"/>
          <w:sz w:val="24"/>
          <w:szCs w:val="24"/>
        </w:rPr>
        <w:t>6</w:t>
      </w:r>
      <w:r w:rsidR="008B27BA">
        <w:rPr>
          <w:rFonts w:ascii="Times New Roman" w:hAnsi="Times New Roman"/>
          <w:sz w:val="24"/>
          <w:szCs w:val="24"/>
        </w:rPr>
        <w:t xml:space="preserve"> </w:t>
      </w:r>
      <w:r w:rsidR="00342E25">
        <w:rPr>
          <w:rFonts w:ascii="Times New Roman" w:hAnsi="Times New Roman"/>
          <w:sz w:val="24"/>
          <w:szCs w:val="24"/>
        </w:rPr>
        <w:t>esetben keletkez</w:t>
      </w:r>
      <w:r>
        <w:rPr>
          <w:rFonts w:ascii="Times New Roman" w:hAnsi="Times New Roman"/>
          <w:sz w:val="24"/>
          <w:szCs w:val="24"/>
        </w:rPr>
        <w:t>e</w:t>
      </w:r>
      <w:r w:rsidR="001F52CD">
        <w:rPr>
          <w:rFonts w:ascii="Times New Roman" w:hAnsi="Times New Roman"/>
          <w:sz w:val="24"/>
          <w:szCs w:val="24"/>
        </w:rPr>
        <w:t>tt tű</w:t>
      </w:r>
      <w:r>
        <w:rPr>
          <w:rFonts w:ascii="Times New Roman" w:hAnsi="Times New Roman"/>
          <w:sz w:val="24"/>
          <w:szCs w:val="24"/>
        </w:rPr>
        <w:t xml:space="preserve">zeset ipari környezetben. </w:t>
      </w:r>
      <w:r w:rsidR="00205CA4">
        <w:rPr>
          <w:rFonts w:ascii="Times New Roman" w:hAnsi="Times New Roman"/>
          <w:sz w:val="24"/>
          <w:szCs w:val="24"/>
        </w:rPr>
        <w:t>(2. számú ábra).</w:t>
      </w:r>
    </w:p>
    <w:p w14:paraId="1D93C9A8" w14:textId="391614B0" w:rsidR="00342E25" w:rsidRDefault="001F52CD" w:rsidP="00CB42D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42E25" w:rsidRPr="00C54626">
        <w:rPr>
          <w:rFonts w:ascii="Times New Roman" w:hAnsi="Times New Roman"/>
          <w:sz w:val="24"/>
          <w:szCs w:val="24"/>
        </w:rPr>
        <w:t>olyamatos megelőző tájékoztatást vég</w:t>
      </w:r>
      <w:r>
        <w:rPr>
          <w:rFonts w:ascii="Times New Roman" w:hAnsi="Times New Roman"/>
          <w:sz w:val="24"/>
          <w:szCs w:val="24"/>
        </w:rPr>
        <w:t>ezt</w:t>
      </w:r>
      <w:r w:rsidR="00342E25" w:rsidRPr="00C54626">
        <w:rPr>
          <w:rFonts w:ascii="Times New Roman" w:hAnsi="Times New Roman"/>
          <w:sz w:val="24"/>
          <w:szCs w:val="24"/>
        </w:rPr>
        <w:t xml:space="preserve">ünk a tűzoltóság működési területén jelen lévő médián keresztül, felhasználva a személyes rendezvényi megjelenéseket és </w:t>
      </w:r>
      <w:r w:rsidR="00905807">
        <w:rPr>
          <w:rFonts w:ascii="Times New Roman" w:hAnsi="Times New Roman"/>
          <w:sz w:val="24"/>
          <w:szCs w:val="24"/>
        </w:rPr>
        <w:t xml:space="preserve">az </w:t>
      </w:r>
      <w:r w:rsidR="00342E25" w:rsidRPr="00C54626">
        <w:rPr>
          <w:rFonts w:ascii="Times New Roman" w:hAnsi="Times New Roman"/>
          <w:sz w:val="24"/>
          <w:szCs w:val="24"/>
        </w:rPr>
        <w:t xml:space="preserve">önkormányzatok által működtetett </w:t>
      </w:r>
      <w:r>
        <w:rPr>
          <w:rFonts w:ascii="Times New Roman" w:hAnsi="Times New Roman"/>
          <w:sz w:val="24"/>
          <w:szCs w:val="24"/>
        </w:rPr>
        <w:t>internetes felületeket. Elemeztük</w:t>
      </w:r>
      <w:r w:rsidR="00342E25" w:rsidRPr="00C54626">
        <w:rPr>
          <w:rFonts w:ascii="Times New Roman" w:hAnsi="Times New Roman"/>
          <w:sz w:val="24"/>
          <w:szCs w:val="24"/>
        </w:rPr>
        <w:t xml:space="preserve"> a tűzvédelmet befolyásoló tényező</w:t>
      </w:r>
      <w:r>
        <w:rPr>
          <w:rFonts w:ascii="Times New Roman" w:hAnsi="Times New Roman"/>
          <w:sz w:val="24"/>
          <w:szCs w:val="24"/>
        </w:rPr>
        <w:t xml:space="preserve">ket, </w:t>
      </w:r>
      <w:r w:rsidR="003A517E">
        <w:rPr>
          <w:rFonts w:ascii="Times New Roman" w:hAnsi="Times New Roman"/>
          <w:sz w:val="24"/>
          <w:szCs w:val="24"/>
        </w:rPr>
        <w:t>jelentős</w:t>
      </w:r>
      <w:r>
        <w:rPr>
          <w:rFonts w:ascii="Times New Roman" w:hAnsi="Times New Roman"/>
          <w:sz w:val="24"/>
          <w:szCs w:val="24"/>
        </w:rPr>
        <w:t>en csökkentek</w:t>
      </w:r>
      <w:r w:rsidR="00342E25" w:rsidRPr="00C54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káreseti számadatok</w:t>
      </w:r>
      <w:r w:rsidR="00342E25" w:rsidRPr="00C54626">
        <w:rPr>
          <w:rFonts w:ascii="Times New Roman" w:hAnsi="Times New Roman"/>
          <w:sz w:val="24"/>
          <w:szCs w:val="24"/>
        </w:rPr>
        <w:t xml:space="preserve"> a tűzoltóság által védett területen. Az agglom</w:t>
      </w:r>
      <w:r w:rsidR="00342E25">
        <w:rPr>
          <w:rFonts w:ascii="Times New Roman" w:hAnsi="Times New Roman"/>
          <w:sz w:val="24"/>
          <w:szCs w:val="24"/>
        </w:rPr>
        <w:t xml:space="preserve">erációs területek lakosságának </w:t>
      </w:r>
      <w:r w:rsidR="00342E25" w:rsidRPr="00C54626">
        <w:rPr>
          <w:rFonts w:ascii="Times New Roman" w:hAnsi="Times New Roman"/>
          <w:sz w:val="24"/>
          <w:szCs w:val="24"/>
        </w:rPr>
        <w:t xml:space="preserve">száma robbanásszerűen megnőtt. </w:t>
      </w:r>
      <w:r w:rsidR="005E11E3">
        <w:rPr>
          <w:rFonts w:ascii="Times New Roman" w:hAnsi="Times New Roman"/>
          <w:sz w:val="24"/>
          <w:szCs w:val="24"/>
        </w:rPr>
        <w:t>I</w:t>
      </w:r>
      <w:r w:rsidR="005E11E3" w:rsidRPr="00C54626">
        <w:rPr>
          <w:rFonts w:ascii="Times New Roman" w:hAnsi="Times New Roman"/>
          <w:sz w:val="24"/>
          <w:szCs w:val="24"/>
        </w:rPr>
        <w:t>nternet</w:t>
      </w:r>
      <w:r w:rsidR="005E11E3">
        <w:rPr>
          <w:rFonts w:ascii="Times New Roman" w:hAnsi="Times New Roman"/>
          <w:sz w:val="24"/>
          <w:szCs w:val="24"/>
        </w:rPr>
        <w:t>tel</w:t>
      </w:r>
      <w:r w:rsidR="005E11E3" w:rsidRPr="00C54626">
        <w:rPr>
          <w:rFonts w:ascii="Times New Roman" w:hAnsi="Times New Roman"/>
          <w:sz w:val="24"/>
          <w:szCs w:val="24"/>
        </w:rPr>
        <w:t xml:space="preserve"> és a helyi médiával</w:t>
      </w:r>
      <w:r w:rsidR="005E11E3">
        <w:rPr>
          <w:rFonts w:ascii="Times New Roman" w:hAnsi="Times New Roman"/>
          <w:sz w:val="24"/>
          <w:szCs w:val="24"/>
        </w:rPr>
        <w:t xml:space="preserve"> nem lehet mindenkit elérni és tájékoztatni, </w:t>
      </w:r>
      <w:r w:rsidR="00342E25" w:rsidRPr="00C54626">
        <w:rPr>
          <w:rFonts w:ascii="Times New Roman" w:hAnsi="Times New Roman"/>
          <w:sz w:val="24"/>
          <w:szCs w:val="24"/>
        </w:rPr>
        <w:t xml:space="preserve">ezért </w:t>
      </w:r>
      <w:r w:rsidR="00205CA4">
        <w:rPr>
          <w:rFonts w:ascii="Times New Roman" w:hAnsi="Times New Roman"/>
          <w:sz w:val="24"/>
          <w:szCs w:val="24"/>
        </w:rPr>
        <w:t xml:space="preserve">nagy </w:t>
      </w:r>
      <w:r w:rsidR="00342E25" w:rsidRPr="00C54626">
        <w:rPr>
          <w:rFonts w:ascii="Times New Roman" w:hAnsi="Times New Roman"/>
          <w:sz w:val="24"/>
          <w:szCs w:val="24"/>
        </w:rPr>
        <w:t>figyelmet fordított</w:t>
      </w:r>
      <w:r w:rsidR="005E11E3">
        <w:rPr>
          <w:rFonts w:ascii="Times New Roman" w:hAnsi="Times New Roman"/>
          <w:sz w:val="24"/>
          <w:szCs w:val="24"/>
        </w:rPr>
        <w:t>unk e területek beazonosítására</w:t>
      </w:r>
      <w:r w:rsidR="00342E25" w:rsidRPr="00C54626">
        <w:rPr>
          <w:rFonts w:ascii="Times New Roman" w:hAnsi="Times New Roman"/>
          <w:sz w:val="24"/>
          <w:szCs w:val="24"/>
        </w:rPr>
        <w:t xml:space="preserve"> és </w:t>
      </w:r>
      <w:r w:rsidR="005E11E3">
        <w:rPr>
          <w:rFonts w:ascii="Times New Roman" w:hAnsi="Times New Roman"/>
          <w:sz w:val="24"/>
          <w:szCs w:val="24"/>
        </w:rPr>
        <w:t>igyekeztünk</w:t>
      </w:r>
      <w:r w:rsidR="00342E25">
        <w:rPr>
          <w:rFonts w:ascii="Times New Roman" w:hAnsi="Times New Roman"/>
          <w:sz w:val="24"/>
          <w:szCs w:val="24"/>
        </w:rPr>
        <w:t xml:space="preserve"> az itt</w:t>
      </w:r>
      <w:r w:rsidR="005E11E3">
        <w:rPr>
          <w:rFonts w:ascii="Times New Roman" w:hAnsi="Times New Roman"/>
          <w:sz w:val="24"/>
          <w:szCs w:val="24"/>
        </w:rPr>
        <w:t xml:space="preserve"> élő lakosokat tájékoztatni</w:t>
      </w:r>
      <w:r w:rsidR="00342E25" w:rsidRPr="00C54626">
        <w:rPr>
          <w:rFonts w:ascii="Times New Roman" w:hAnsi="Times New Roman"/>
          <w:sz w:val="24"/>
          <w:szCs w:val="24"/>
        </w:rPr>
        <w:t xml:space="preserve"> a követ</w:t>
      </w:r>
      <w:r w:rsidR="009555B6">
        <w:rPr>
          <w:rFonts w:ascii="Times New Roman" w:hAnsi="Times New Roman"/>
          <w:sz w:val="24"/>
          <w:szCs w:val="24"/>
        </w:rPr>
        <w:t>endő tűzvédelmi szabályokról</w:t>
      </w:r>
      <w:r w:rsidR="00342E25">
        <w:rPr>
          <w:rFonts w:ascii="Times New Roman" w:hAnsi="Times New Roman"/>
          <w:sz w:val="24"/>
          <w:szCs w:val="24"/>
        </w:rPr>
        <w:t>.</w:t>
      </w:r>
    </w:p>
    <w:p w14:paraId="39B9F143" w14:textId="4017524C" w:rsidR="00916597" w:rsidRDefault="00905807" w:rsidP="00CB42D9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2023-ban </w:t>
      </w:r>
      <w:r w:rsidR="00205CA4">
        <w:rPr>
          <w:rFonts w:ascii="Times New Roman" w:hAnsi="Times New Roman"/>
          <w:sz w:val="24"/>
          <w:szCs w:val="24"/>
        </w:rPr>
        <w:t>8</w:t>
      </w:r>
      <w:r w:rsidR="00535922">
        <w:rPr>
          <w:rFonts w:ascii="Times New Roman" w:hAnsi="Times New Roman"/>
          <w:sz w:val="24"/>
          <w:szCs w:val="24"/>
        </w:rPr>
        <w:t>18</w:t>
      </w:r>
      <w:r w:rsidR="001B7988">
        <w:rPr>
          <w:rFonts w:ascii="Times New Roman" w:hAnsi="Times New Roman"/>
          <w:sz w:val="24"/>
          <w:szCs w:val="24"/>
        </w:rPr>
        <w:t xml:space="preserve"> esetben </w:t>
      </w:r>
      <w:r>
        <w:rPr>
          <w:rFonts w:ascii="Times New Roman" w:hAnsi="Times New Roman"/>
          <w:sz w:val="24"/>
          <w:szCs w:val="24"/>
        </w:rPr>
        <w:t>történt műszaki mentéshez jelzés, amelyből</w:t>
      </w:r>
      <w:r w:rsidR="001B7988">
        <w:rPr>
          <w:rFonts w:ascii="Times New Roman" w:hAnsi="Times New Roman"/>
          <w:sz w:val="24"/>
          <w:szCs w:val="24"/>
        </w:rPr>
        <w:t xml:space="preserve"> </w:t>
      </w:r>
      <w:r w:rsidR="00535922">
        <w:rPr>
          <w:rFonts w:ascii="Times New Roman" w:hAnsi="Times New Roman"/>
          <w:b/>
          <w:sz w:val="24"/>
          <w:szCs w:val="24"/>
        </w:rPr>
        <w:t>631</w:t>
      </w:r>
      <w:r w:rsidR="008B27BA">
        <w:rPr>
          <w:rFonts w:ascii="Times New Roman" w:hAnsi="Times New Roman"/>
          <w:sz w:val="24"/>
          <w:szCs w:val="24"/>
        </w:rPr>
        <w:t xml:space="preserve"> </w:t>
      </w:r>
      <w:r w:rsidR="001B7988">
        <w:rPr>
          <w:rFonts w:ascii="Times New Roman" w:hAnsi="Times New Roman"/>
          <w:sz w:val="24"/>
          <w:szCs w:val="24"/>
        </w:rPr>
        <w:t>beavatkozás</w:t>
      </w:r>
      <w:r>
        <w:rPr>
          <w:rFonts w:ascii="Times New Roman" w:hAnsi="Times New Roman"/>
          <w:sz w:val="24"/>
          <w:szCs w:val="24"/>
        </w:rPr>
        <w:t>t</w:t>
      </w:r>
      <w:r w:rsidR="001B7988">
        <w:rPr>
          <w:rFonts w:ascii="Times New Roman" w:hAnsi="Times New Roman"/>
          <w:sz w:val="24"/>
          <w:szCs w:val="24"/>
        </w:rPr>
        <w:t xml:space="preserve"> igénylő esemény</w:t>
      </w:r>
      <w:r w:rsidR="005C7713">
        <w:rPr>
          <w:rFonts w:ascii="Times New Roman" w:hAnsi="Times New Roman"/>
          <w:sz w:val="24"/>
          <w:szCs w:val="24"/>
        </w:rPr>
        <w:t xml:space="preserve">, </w:t>
      </w:r>
      <w:r w:rsidR="00535922">
        <w:rPr>
          <w:rFonts w:ascii="Times New Roman" w:hAnsi="Times New Roman"/>
          <w:sz w:val="24"/>
          <w:szCs w:val="24"/>
        </w:rPr>
        <w:t>122</w:t>
      </w:r>
      <w:r w:rsidR="008B27BA" w:rsidRPr="008077AF">
        <w:rPr>
          <w:rFonts w:ascii="Times New Roman" w:hAnsi="Times New Roman"/>
          <w:sz w:val="24"/>
          <w:szCs w:val="24"/>
        </w:rPr>
        <w:t xml:space="preserve"> </w:t>
      </w:r>
      <w:r w:rsidR="005C7713" w:rsidRPr="008077AF">
        <w:rPr>
          <w:rFonts w:ascii="Times New Roman" w:hAnsi="Times New Roman"/>
          <w:sz w:val="24"/>
          <w:szCs w:val="24"/>
        </w:rPr>
        <w:t>téves</w:t>
      </w:r>
      <w:r w:rsidR="006335A8">
        <w:rPr>
          <w:rFonts w:ascii="Times New Roman" w:hAnsi="Times New Roman"/>
          <w:sz w:val="24"/>
          <w:szCs w:val="24"/>
        </w:rPr>
        <w:t xml:space="preserve"> és </w:t>
      </w:r>
      <w:r w:rsidR="00535922">
        <w:rPr>
          <w:rFonts w:ascii="Times New Roman" w:hAnsi="Times New Roman"/>
          <w:sz w:val="24"/>
          <w:szCs w:val="24"/>
        </w:rPr>
        <w:t>65</w:t>
      </w:r>
      <w:r w:rsidR="005C7713" w:rsidRPr="008077AF">
        <w:rPr>
          <w:rFonts w:ascii="Times New Roman" w:hAnsi="Times New Roman"/>
          <w:sz w:val="24"/>
          <w:szCs w:val="24"/>
        </w:rPr>
        <w:t xml:space="preserve"> kiérkez</w:t>
      </w:r>
      <w:r w:rsidR="00C5766B" w:rsidRPr="008077AF">
        <w:rPr>
          <w:rFonts w:ascii="Times New Roman" w:hAnsi="Times New Roman"/>
          <w:sz w:val="24"/>
          <w:szCs w:val="24"/>
        </w:rPr>
        <w:t>és előtt felszámolt</w:t>
      </w:r>
      <w:r w:rsidR="00535922">
        <w:rPr>
          <w:rFonts w:ascii="Times New Roman" w:hAnsi="Times New Roman"/>
          <w:sz w:val="24"/>
          <w:szCs w:val="24"/>
        </w:rPr>
        <w:t>.</w:t>
      </w:r>
      <w:r w:rsidR="005C7713">
        <w:rPr>
          <w:rFonts w:ascii="Times New Roman" w:hAnsi="Times New Roman"/>
          <w:sz w:val="24"/>
          <w:szCs w:val="24"/>
        </w:rPr>
        <w:t xml:space="preserve"> </w:t>
      </w:r>
      <w:r w:rsidR="00205CA4">
        <w:rPr>
          <w:rFonts w:ascii="Times New Roman" w:hAnsi="Times New Roman"/>
          <w:sz w:val="24"/>
          <w:szCs w:val="24"/>
        </w:rPr>
        <w:t>Közel több mint 11%</w:t>
      </w:r>
      <w:r>
        <w:rPr>
          <w:rFonts w:ascii="Times New Roman" w:hAnsi="Times New Roman"/>
          <w:sz w:val="24"/>
          <w:szCs w:val="24"/>
        </w:rPr>
        <w:t>-kal</w:t>
      </w:r>
      <w:r w:rsidR="00205CA4">
        <w:rPr>
          <w:rFonts w:ascii="Times New Roman" w:hAnsi="Times New Roman"/>
          <w:sz w:val="24"/>
          <w:szCs w:val="24"/>
        </w:rPr>
        <w:t xml:space="preserve"> nőtt a műszaki mentések száma (3. számú ábra). A</w:t>
      </w:r>
      <w:r>
        <w:rPr>
          <w:rFonts w:ascii="Times New Roman" w:hAnsi="Times New Roman"/>
          <w:sz w:val="24"/>
          <w:szCs w:val="24"/>
        </w:rPr>
        <w:t xml:space="preserve"> közúti beavatkozások</w:t>
      </w:r>
      <w:r w:rsidR="006335A8">
        <w:rPr>
          <w:rFonts w:ascii="Times New Roman" w:hAnsi="Times New Roman"/>
          <w:sz w:val="24"/>
          <w:szCs w:val="24"/>
        </w:rPr>
        <w:t xml:space="preserve">, illetve a </w:t>
      </w:r>
      <w:r w:rsidR="00916597" w:rsidRPr="006C780C">
        <w:rPr>
          <w:rFonts w:ascii="Times New Roman" w:hAnsi="Times New Roman"/>
          <w:sz w:val="24"/>
          <w:szCs w:val="24"/>
        </w:rPr>
        <w:t>szélsőséges időjárási körülményekből adód</w:t>
      </w:r>
      <w:r>
        <w:rPr>
          <w:rFonts w:ascii="Times New Roman" w:hAnsi="Times New Roman"/>
          <w:sz w:val="24"/>
          <w:szCs w:val="24"/>
        </w:rPr>
        <w:t xml:space="preserve">ó favágások, vízeltávolítások </w:t>
      </w:r>
      <w:r w:rsidR="00916597" w:rsidRPr="006C780C">
        <w:rPr>
          <w:rFonts w:ascii="Times New Roman" w:hAnsi="Times New Roman"/>
          <w:sz w:val="24"/>
          <w:szCs w:val="24"/>
        </w:rPr>
        <w:t>alakítják</w:t>
      </w:r>
      <w:r w:rsidR="00C46386">
        <w:rPr>
          <w:rFonts w:ascii="Times New Roman" w:hAnsi="Times New Roman"/>
          <w:sz w:val="24"/>
          <w:szCs w:val="24"/>
        </w:rPr>
        <w:t xml:space="preserve"> a növekv</w:t>
      </w:r>
      <w:r w:rsidR="00205CA4">
        <w:rPr>
          <w:rFonts w:ascii="Times New Roman" w:hAnsi="Times New Roman"/>
          <w:sz w:val="24"/>
          <w:szCs w:val="24"/>
        </w:rPr>
        <w:t xml:space="preserve">ő tendenciát. </w:t>
      </w:r>
      <w:r w:rsidR="00B5392B">
        <w:rPr>
          <w:rFonts w:ascii="Times New Roman" w:hAnsi="Times New Roman"/>
          <w:sz w:val="24"/>
          <w:szCs w:val="24"/>
        </w:rPr>
        <w:t>(4. számú ábra)</w:t>
      </w:r>
    </w:p>
    <w:p w14:paraId="2D697AB2" w14:textId="19A90483" w:rsidR="00916597" w:rsidRDefault="003D62BB" w:rsidP="00CB42D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Érd</w:t>
      </w:r>
      <w:r w:rsidR="00872EEE" w:rsidRPr="00E232F1">
        <w:rPr>
          <w:rFonts w:ascii="Times New Roman" w:hAnsi="Times New Roman"/>
          <w:sz w:val="24"/>
          <w:szCs w:val="24"/>
        </w:rPr>
        <w:t xml:space="preserve"> HTP állománya </w:t>
      </w:r>
      <w:r w:rsidR="006C780C">
        <w:rPr>
          <w:rFonts w:ascii="Times New Roman" w:hAnsi="Times New Roman"/>
          <w:sz w:val="24"/>
          <w:szCs w:val="24"/>
        </w:rPr>
        <w:t>15</w:t>
      </w:r>
      <w:r w:rsidR="00916597" w:rsidRPr="003C2B18">
        <w:rPr>
          <w:rFonts w:ascii="Times New Roman" w:hAnsi="Times New Roman"/>
          <w:sz w:val="24"/>
          <w:szCs w:val="24"/>
        </w:rPr>
        <w:t xml:space="preserve"> személyt mentett</w:t>
      </w:r>
      <w:r w:rsidR="00916597" w:rsidRPr="00E232F1">
        <w:rPr>
          <w:rFonts w:ascii="Times New Roman" w:hAnsi="Times New Roman"/>
          <w:sz w:val="24"/>
          <w:szCs w:val="24"/>
        </w:rPr>
        <w:t xml:space="preserve"> meg tűzesetek és műszaki mentési beavatkozások </w:t>
      </w:r>
      <w:r w:rsidR="006335A8">
        <w:rPr>
          <w:rFonts w:ascii="Times New Roman" w:hAnsi="Times New Roman"/>
          <w:sz w:val="24"/>
          <w:szCs w:val="24"/>
        </w:rPr>
        <w:t>során.</w:t>
      </w:r>
      <w:r w:rsidR="00916597" w:rsidRPr="007925AA">
        <w:rPr>
          <w:rFonts w:ascii="Times New Roman" w:hAnsi="Times New Roman"/>
          <w:sz w:val="24"/>
          <w:szCs w:val="24"/>
        </w:rPr>
        <w:t xml:space="preserve"> </w:t>
      </w:r>
    </w:p>
    <w:p w14:paraId="032BC240" w14:textId="3B5D92A0" w:rsidR="00E232F1" w:rsidRPr="007925AA" w:rsidRDefault="003C2B18" w:rsidP="00CB42D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Gázszivárgásnál </w:t>
      </w:r>
      <w:r w:rsidR="00C5766B" w:rsidRPr="006C780C">
        <w:rPr>
          <w:rFonts w:ascii="Times New Roman" w:hAnsi="Times New Roman"/>
          <w:sz w:val="24"/>
          <w:szCs w:val="24"/>
        </w:rPr>
        <w:t>16</w:t>
      </w:r>
      <w:r w:rsidR="002D7D53">
        <w:rPr>
          <w:rFonts w:ascii="Times New Roman" w:hAnsi="Times New Roman"/>
          <w:sz w:val="24"/>
          <w:szCs w:val="24"/>
        </w:rPr>
        <w:t xml:space="preserve">, </w:t>
      </w:r>
      <w:r w:rsidR="003A517E">
        <w:rPr>
          <w:rFonts w:ascii="Times New Roman" w:hAnsi="Times New Roman"/>
          <w:sz w:val="24"/>
          <w:szCs w:val="24"/>
        </w:rPr>
        <w:t>s</w:t>
      </w:r>
      <w:r w:rsidR="00E232F1" w:rsidRPr="003C2B18">
        <w:rPr>
          <w:rFonts w:ascii="Times New Roman" w:hAnsi="Times New Roman"/>
          <w:sz w:val="24"/>
          <w:szCs w:val="24"/>
        </w:rPr>
        <w:t>zén-monoxid</w:t>
      </w:r>
      <w:r w:rsidRPr="003C2B18">
        <w:rPr>
          <w:rFonts w:ascii="Times New Roman" w:hAnsi="Times New Roman"/>
          <w:sz w:val="24"/>
          <w:szCs w:val="24"/>
        </w:rPr>
        <w:t xml:space="preserve"> </w:t>
      </w:r>
      <w:r w:rsidR="00E232F1" w:rsidRPr="003C2B18">
        <w:rPr>
          <w:rFonts w:ascii="Times New Roman" w:hAnsi="Times New Roman"/>
          <w:sz w:val="24"/>
          <w:szCs w:val="24"/>
        </w:rPr>
        <w:t>szivárgásnál</w:t>
      </w:r>
      <w:r w:rsidR="002D7D53">
        <w:rPr>
          <w:rFonts w:ascii="Times New Roman" w:hAnsi="Times New Roman"/>
          <w:sz w:val="24"/>
          <w:szCs w:val="24"/>
        </w:rPr>
        <w:t xml:space="preserve"> </w:t>
      </w:r>
      <w:r w:rsidR="00C46386">
        <w:rPr>
          <w:rFonts w:ascii="Times New Roman" w:hAnsi="Times New Roman"/>
          <w:sz w:val="24"/>
          <w:szCs w:val="24"/>
        </w:rPr>
        <w:t>15</w:t>
      </w:r>
      <w:r w:rsidR="00C46386" w:rsidRPr="003C2B18">
        <w:rPr>
          <w:rFonts w:ascii="Times New Roman" w:hAnsi="Times New Roman"/>
          <w:sz w:val="24"/>
          <w:szCs w:val="24"/>
        </w:rPr>
        <w:t xml:space="preserve"> esetben </w:t>
      </w:r>
      <w:r w:rsidR="002D7D53" w:rsidRPr="003C2B18">
        <w:rPr>
          <w:rFonts w:ascii="Times New Roman" w:hAnsi="Times New Roman"/>
          <w:sz w:val="24"/>
          <w:szCs w:val="24"/>
        </w:rPr>
        <w:t>kellett beavatkoznunk</w:t>
      </w:r>
      <w:r w:rsidR="002D7D53">
        <w:rPr>
          <w:rFonts w:ascii="Times New Roman" w:hAnsi="Times New Roman"/>
          <w:sz w:val="24"/>
          <w:szCs w:val="24"/>
        </w:rPr>
        <w:t>.</w:t>
      </w:r>
    </w:p>
    <w:p w14:paraId="4294D2F5" w14:textId="293D29B0" w:rsidR="00916597" w:rsidRPr="00BD6989" w:rsidRDefault="00EF3B54" w:rsidP="00CB42D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16597" w:rsidRPr="00BD6989">
        <w:rPr>
          <w:rFonts w:ascii="Times New Roman" w:hAnsi="Times New Roman"/>
          <w:sz w:val="24"/>
          <w:szCs w:val="24"/>
        </w:rPr>
        <w:t xml:space="preserve">éves </w:t>
      </w:r>
      <w:r>
        <w:rPr>
          <w:rFonts w:ascii="Times New Roman" w:hAnsi="Times New Roman"/>
          <w:sz w:val="24"/>
          <w:szCs w:val="24"/>
        </w:rPr>
        <w:t xml:space="preserve">tűzjelzés </w:t>
      </w:r>
      <w:r w:rsidR="00205CA4" w:rsidRPr="00BD6989">
        <w:rPr>
          <w:rFonts w:ascii="Times New Roman" w:hAnsi="Times New Roman"/>
          <w:sz w:val="24"/>
          <w:szCs w:val="24"/>
        </w:rPr>
        <w:t>480</w:t>
      </w:r>
      <w:r w:rsidR="0048278F" w:rsidRPr="00BD6989">
        <w:rPr>
          <w:rFonts w:ascii="Times New Roman" w:hAnsi="Times New Roman"/>
          <w:sz w:val="24"/>
          <w:szCs w:val="24"/>
        </w:rPr>
        <w:t xml:space="preserve"> </w:t>
      </w:r>
      <w:r w:rsidR="00916597" w:rsidRPr="00BD6989">
        <w:rPr>
          <w:rFonts w:ascii="Times New Roman" w:hAnsi="Times New Roman"/>
          <w:sz w:val="24"/>
          <w:szCs w:val="24"/>
        </w:rPr>
        <w:t xml:space="preserve">esetben </w:t>
      </w:r>
      <w:r w:rsidR="005864E3">
        <w:rPr>
          <w:rFonts w:ascii="Times New Roman" w:hAnsi="Times New Roman"/>
          <w:sz w:val="24"/>
          <w:szCs w:val="24"/>
        </w:rPr>
        <w:t>történt</w:t>
      </w:r>
      <w:r w:rsidR="00916597" w:rsidRPr="00BD69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amelyből </w:t>
      </w:r>
      <w:r w:rsidR="00BD6989" w:rsidRPr="00BD6989">
        <w:rPr>
          <w:rFonts w:ascii="Times New Roman" w:hAnsi="Times New Roman"/>
          <w:b/>
          <w:sz w:val="24"/>
          <w:szCs w:val="24"/>
        </w:rPr>
        <w:t>232</w:t>
      </w:r>
      <w:r w:rsidR="0048278F" w:rsidRPr="00BD6989">
        <w:rPr>
          <w:rFonts w:ascii="Times New Roman" w:hAnsi="Times New Roman"/>
          <w:sz w:val="24"/>
          <w:szCs w:val="24"/>
        </w:rPr>
        <w:t xml:space="preserve"> esetben </w:t>
      </w:r>
      <w:r w:rsidR="005864E3">
        <w:rPr>
          <w:rFonts w:ascii="Times New Roman" w:hAnsi="Times New Roman"/>
          <w:sz w:val="24"/>
          <w:szCs w:val="24"/>
        </w:rPr>
        <w:t>vonult</w:t>
      </w:r>
      <w:r>
        <w:rPr>
          <w:rFonts w:ascii="Times New Roman" w:hAnsi="Times New Roman"/>
          <w:sz w:val="24"/>
          <w:szCs w:val="24"/>
        </w:rPr>
        <w:t xml:space="preserve"> Érd HTP</w:t>
      </w:r>
      <w:r w:rsidR="0048278F" w:rsidRPr="00BD6989">
        <w:rPr>
          <w:rFonts w:ascii="Times New Roman" w:hAnsi="Times New Roman"/>
          <w:sz w:val="24"/>
          <w:szCs w:val="24"/>
        </w:rPr>
        <w:t>.</w:t>
      </w:r>
      <w:r w:rsidR="00BD6989">
        <w:rPr>
          <w:rFonts w:ascii="Times New Roman" w:hAnsi="Times New Roman"/>
          <w:sz w:val="24"/>
          <w:szCs w:val="24"/>
        </w:rPr>
        <w:t xml:space="preserve"> </w:t>
      </w:r>
      <w:r w:rsidR="00CB42D9">
        <w:rPr>
          <w:rFonts w:ascii="Times New Roman" w:hAnsi="Times New Roman"/>
          <w:sz w:val="24"/>
          <w:szCs w:val="24"/>
        </w:rPr>
        <w:t xml:space="preserve">A </w:t>
      </w:r>
      <w:r w:rsidR="00BD6989">
        <w:rPr>
          <w:rFonts w:ascii="Times New Roman" w:hAnsi="Times New Roman"/>
          <w:sz w:val="24"/>
          <w:szCs w:val="24"/>
        </w:rPr>
        <w:t>gazdasági fejlesztések eredménye</w:t>
      </w:r>
      <w:r w:rsidR="00CB42D9">
        <w:rPr>
          <w:rFonts w:ascii="Times New Roman" w:hAnsi="Times New Roman"/>
          <w:sz w:val="24"/>
          <w:szCs w:val="24"/>
        </w:rPr>
        <w:t>ként több tűzjelző rendszer</w:t>
      </w:r>
      <w:r w:rsidR="00BD6989">
        <w:rPr>
          <w:rFonts w:ascii="Times New Roman" w:hAnsi="Times New Roman"/>
          <w:sz w:val="24"/>
          <w:szCs w:val="24"/>
        </w:rPr>
        <w:t xml:space="preserve"> </w:t>
      </w:r>
      <w:r w:rsidR="00CB42D9">
        <w:rPr>
          <w:rFonts w:ascii="Times New Roman" w:hAnsi="Times New Roman"/>
          <w:sz w:val="24"/>
          <w:szCs w:val="24"/>
        </w:rPr>
        <w:t xml:space="preserve">került </w:t>
      </w:r>
      <w:r w:rsidR="00BD6989">
        <w:rPr>
          <w:rFonts w:ascii="Times New Roman" w:hAnsi="Times New Roman"/>
          <w:sz w:val="24"/>
          <w:szCs w:val="24"/>
        </w:rPr>
        <w:t>kiépítés</w:t>
      </w:r>
      <w:r w:rsidR="00CB42D9">
        <w:rPr>
          <w:rFonts w:ascii="Times New Roman" w:hAnsi="Times New Roman"/>
          <w:sz w:val="24"/>
          <w:szCs w:val="24"/>
        </w:rPr>
        <w:t>r</w:t>
      </w:r>
      <w:r w:rsidR="00BD6989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amely arányosan növelte az esetszámot</w:t>
      </w:r>
      <w:r w:rsidR="00CB42D9">
        <w:rPr>
          <w:rFonts w:ascii="Times New Roman" w:hAnsi="Times New Roman"/>
          <w:sz w:val="24"/>
          <w:szCs w:val="24"/>
        </w:rPr>
        <w:t xml:space="preserve">. </w:t>
      </w:r>
    </w:p>
    <w:p w14:paraId="3D5D22A6" w14:textId="77777777" w:rsidR="00916597" w:rsidRPr="00CB788C" w:rsidRDefault="00916597" w:rsidP="006315EF">
      <w:pPr>
        <w:pStyle w:val="Cmsor1"/>
        <w:spacing w:before="100" w:beforeAutospacing="1" w:after="100" w:afterAutospacing="1" w:line="240" w:lineRule="atLeast"/>
        <w:rPr>
          <w:b/>
        </w:rPr>
      </w:pPr>
      <w:bookmarkStart w:id="2" w:name="_Toc40190328"/>
      <w:bookmarkStart w:id="3" w:name="_Toc535306595"/>
      <w:r w:rsidRPr="007925AA">
        <w:rPr>
          <w:b/>
        </w:rPr>
        <w:t>III. Az állomány képzése, képzettsége</w:t>
      </w:r>
      <w:bookmarkEnd w:id="2"/>
    </w:p>
    <w:p w14:paraId="6BC37FA1" w14:textId="4FF91B46" w:rsidR="005E11E3" w:rsidRDefault="005E11E3" w:rsidP="005E11E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HTP személyi állományának szakismereteit folyamatosan fejlesztjük, a képzéseket dokumentáljuk. Az </w:t>
      </w:r>
      <w:r w:rsidR="00CA7C9A">
        <w:rPr>
          <w:rFonts w:ascii="Times New Roman" w:hAnsi="Times New Roman"/>
          <w:color w:val="000000"/>
          <w:sz w:val="24"/>
          <w:szCs w:val="24"/>
        </w:rPr>
        <w:t xml:space="preserve">elméleti és gyakorlati foglalkozásokat </w:t>
      </w:r>
      <w:r>
        <w:rPr>
          <w:rFonts w:ascii="Times New Roman" w:hAnsi="Times New Roman"/>
          <w:color w:val="000000"/>
          <w:sz w:val="24"/>
          <w:szCs w:val="24"/>
        </w:rPr>
        <w:t xml:space="preserve">nagy szakmai tapasztalattal </w:t>
      </w:r>
      <w:r w:rsidR="006335A8">
        <w:rPr>
          <w:rFonts w:ascii="Times New Roman" w:hAnsi="Times New Roman"/>
          <w:color w:val="000000"/>
          <w:sz w:val="24"/>
          <w:szCs w:val="24"/>
        </w:rPr>
        <w:t>rendelkező</w:t>
      </w:r>
      <w:r>
        <w:rPr>
          <w:rFonts w:ascii="Times New Roman" w:hAnsi="Times New Roman"/>
          <w:color w:val="000000"/>
          <w:sz w:val="24"/>
          <w:szCs w:val="24"/>
        </w:rPr>
        <w:t xml:space="preserve"> személyek </w:t>
      </w:r>
      <w:r w:rsidR="00CA7C9A">
        <w:rPr>
          <w:rFonts w:ascii="Times New Roman" w:hAnsi="Times New Roman"/>
          <w:color w:val="000000"/>
          <w:sz w:val="24"/>
          <w:szCs w:val="24"/>
        </w:rPr>
        <w:t>tartották</w:t>
      </w:r>
      <w:r>
        <w:rPr>
          <w:rFonts w:ascii="Times New Roman" w:hAnsi="Times New Roman"/>
          <w:color w:val="000000"/>
          <w:sz w:val="24"/>
          <w:szCs w:val="24"/>
        </w:rPr>
        <w:t>. Célunk a beavatkozó áll</w:t>
      </w:r>
      <w:r w:rsidR="006335A8">
        <w:rPr>
          <w:rFonts w:ascii="Times New Roman" w:hAnsi="Times New Roman"/>
          <w:color w:val="000000"/>
          <w:sz w:val="24"/>
          <w:szCs w:val="24"/>
        </w:rPr>
        <w:t>omány tudásszintjének növelése, lépést tartani a kor fejlődésével műszaki-technikai szinten is.</w:t>
      </w:r>
    </w:p>
    <w:p w14:paraId="6B41A715" w14:textId="0C913582" w:rsidR="005864E3" w:rsidRDefault="005E11E3" w:rsidP="005E11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C290B" w:rsidRPr="007925AA">
        <w:rPr>
          <w:rFonts w:ascii="Times New Roman" w:hAnsi="Times New Roman"/>
          <w:sz w:val="24"/>
          <w:szCs w:val="24"/>
        </w:rPr>
        <w:t>szolgálati csoportok vezetői és tagjai az előírt képzettségekkel rendelkeznek. A képesítésük, képzett</w:t>
      </w:r>
      <w:r w:rsidR="00EC290B">
        <w:rPr>
          <w:rFonts w:ascii="Times New Roman" w:hAnsi="Times New Roman"/>
          <w:sz w:val="24"/>
          <w:szCs w:val="24"/>
        </w:rPr>
        <w:t xml:space="preserve">ségük szerint különböző szinten </w:t>
      </w:r>
      <w:r w:rsidR="00EC290B" w:rsidRPr="007925AA">
        <w:rPr>
          <w:rFonts w:ascii="Times New Roman" w:hAnsi="Times New Roman"/>
          <w:sz w:val="24"/>
          <w:szCs w:val="24"/>
        </w:rPr>
        <w:t>tartó, illetve szakmai ismereteiket kiszélesítő központi képzéseken vettek részt.</w:t>
      </w:r>
      <w:r w:rsidR="00EC290B" w:rsidRPr="00B30536">
        <w:rPr>
          <w:rFonts w:ascii="Times New Roman" w:hAnsi="Times New Roman"/>
          <w:sz w:val="24"/>
          <w:szCs w:val="24"/>
        </w:rPr>
        <w:t xml:space="preserve"> </w:t>
      </w:r>
      <w:r w:rsidR="00EC290B" w:rsidRPr="007925AA">
        <w:rPr>
          <w:rFonts w:ascii="Times New Roman" w:hAnsi="Times New Roman"/>
          <w:sz w:val="24"/>
          <w:szCs w:val="24"/>
        </w:rPr>
        <w:t>A gépjárműve</w:t>
      </w:r>
      <w:r w:rsidR="006335A8">
        <w:rPr>
          <w:rFonts w:ascii="Times New Roman" w:hAnsi="Times New Roman"/>
          <w:sz w:val="24"/>
          <w:szCs w:val="24"/>
        </w:rPr>
        <w:t>zetőinket is folyamatosan képezt</w:t>
      </w:r>
      <w:r w:rsidR="00EC290B" w:rsidRPr="007925AA">
        <w:rPr>
          <w:rFonts w:ascii="Times New Roman" w:hAnsi="Times New Roman"/>
          <w:sz w:val="24"/>
          <w:szCs w:val="24"/>
        </w:rPr>
        <w:t xml:space="preserve">ük az előírt vezetéstechnikai tréningeken. </w:t>
      </w:r>
      <w:r w:rsidR="00EC290B">
        <w:rPr>
          <w:rFonts w:ascii="Times New Roman" w:hAnsi="Times New Roman"/>
          <w:bCs/>
          <w:sz w:val="24"/>
          <w:szCs w:val="24"/>
        </w:rPr>
        <w:t>Parancsnokságunkon készenlétben tartott szerekre és felszerelésekre az állomány az előírt képesítésekkel rendelkezik.</w:t>
      </w:r>
      <w:r w:rsidR="00EC290B" w:rsidRPr="00B30536">
        <w:rPr>
          <w:rFonts w:ascii="Times New Roman" w:hAnsi="Times New Roman"/>
          <w:sz w:val="24"/>
          <w:szCs w:val="24"/>
        </w:rPr>
        <w:t xml:space="preserve"> </w:t>
      </w:r>
      <w:r w:rsidR="00EC290B" w:rsidRPr="007925AA">
        <w:rPr>
          <w:rFonts w:ascii="Times New Roman" w:hAnsi="Times New Roman"/>
          <w:sz w:val="24"/>
          <w:szCs w:val="24"/>
        </w:rPr>
        <w:t xml:space="preserve">Az elméleti képzés anyagának ismertetésénél nagy hangsúlyt fektettünk a központi képzési dokumentumok használatán túl, egyes ismeretanyagok oktatásba való beillesztésére, illetve </w:t>
      </w:r>
      <w:r w:rsidR="00EC290B" w:rsidRPr="004D1C53">
        <w:rPr>
          <w:rFonts w:ascii="Times New Roman" w:hAnsi="Times New Roman"/>
          <w:sz w:val="24"/>
          <w:szCs w:val="24"/>
        </w:rPr>
        <w:t>azok interaktív módon történő feldolgozására.</w:t>
      </w:r>
      <w:r w:rsidR="00EC290B" w:rsidRPr="00166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64E3">
        <w:rPr>
          <w:rFonts w:ascii="Times New Roman" w:hAnsi="Times New Roman"/>
          <w:sz w:val="24"/>
          <w:szCs w:val="24"/>
        </w:rPr>
        <w:t>Az oktatások színvonalát</w:t>
      </w:r>
      <w:r w:rsidR="00EC290B" w:rsidRPr="004D1C53">
        <w:rPr>
          <w:rFonts w:ascii="Times New Roman" w:hAnsi="Times New Roman"/>
          <w:sz w:val="24"/>
          <w:szCs w:val="24"/>
        </w:rPr>
        <w:t xml:space="preserve"> emel</w:t>
      </w:r>
      <w:r w:rsidR="005864E3">
        <w:rPr>
          <w:rFonts w:ascii="Times New Roman" w:hAnsi="Times New Roman"/>
          <w:sz w:val="24"/>
          <w:szCs w:val="24"/>
        </w:rPr>
        <w:t xml:space="preserve">ik </w:t>
      </w:r>
      <w:r w:rsidR="00EC290B">
        <w:rPr>
          <w:rFonts w:ascii="Times New Roman" w:hAnsi="Times New Roman"/>
          <w:sz w:val="24"/>
          <w:szCs w:val="24"/>
        </w:rPr>
        <w:t>a</w:t>
      </w:r>
      <w:r w:rsidR="00EC290B" w:rsidRPr="007925AA">
        <w:rPr>
          <w:rFonts w:ascii="Times New Roman" w:hAnsi="Times New Roman"/>
          <w:sz w:val="24"/>
          <w:szCs w:val="24"/>
        </w:rPr>
        <w:t xml:space="preserve"> digitális oktatási a</w:t>
      </w:r>
      <w:r w:rsidR="00EC290B">
        <w:rPr>
          <w:rFonts w:ascii="Times New Roman" w:hAnsi="Times New Roman"/>
          <w:sz w:val="24"/>
          <w:szCs w:val="24"/>
        </w:rPr>
        <w:t xml:space="preserve">nyagok </w:t>
      </w:r>
      <w:r w:rsidR="005864E3">
        <w:rPr>
          <w:rFonts w:ascii="Times New Roman" w:hAnsi="Times New Roman"/>
          <w:sz w:val="24"/>
          <w:szCs w:val="24"/>
        </w:rPr>
        <w:t xml:space="preserve">és a </w:t>
      </w:r>
      <w:r w:rsidR="00EC290B">
        <w:rPr>
          <w:rFonts w:ascii="Times New Roman" w:hAnsi="Times New Roman"/>
          <w:sz w:val="24"/>
          <w:szCs w:val="24"/>
        </w:rPr>
        <w:t>számítás</w:t>
      </w:r>
      <w:r w:rsidR="005864E3">
        <w:rPr>
          <w:rFonts w:ascii="Times New Roman" w:hAnsi="Times New Roman"/>
          <w:sz w:val="24"/>
          <w:szCs w:val="24"/>
        </w:rPr>
        <w:t>technikai eszközök</w:t>
      </w:r>
      <w:r w:rsidR="00EC290B" w:rsidRPr="007925AA">
        <w:rPr>
          <w:rFonts w:ascii="Times New Roman" w:hAnsi="Times New Roman"/>
          <w:sz w:val="24"/>
          <w:szCs w:val="24"/>
        </w:rPr>
        <w:t>.</w:t>
      </w:r>
      <w:r w:rsidR="00EC290B">
        <w:rPr>
          <w:rFonts w:ascii="Times New Roman" w:hAnsi="Times New Roman"/>
          <w:sz w:val="24"/>
          <w:szCs w:val="24"/>
        </w:rPr>
        <w:t xml:space="preserve"> </w:t>
      </w:r>
    </w:p>
    <w:p w14:paraId="39BE7ADE" w14:textId="77777777" w:rsidR="009555B6" w:rsidRPr="009555B6" w:rsidRDefault="009555B6" w:rsidP="005E11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5988B" w14:textId="1D3AF909" w:rsidR="00916597" w:rsidRPr="00D5582E" w:rsidRDefault="00916597" w:rsidP="00FE475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2E">
        <w:rPr>
          <w:rFonts w:ascii="Times New Roman" w:hAnsi="Times New Roman"/>
          <w:b/>
          <w:sz w:val="24"/>
          <w:szCs w:val="24"/>
        </w:rPr>
        <w:t>Gyakorlatok</w:t>
      </w:r>
    </w:p>
    <w:p w14:paraId="2999F16D" w14:textId="27C56827" w:rsidR="00916597" w:rsidRDefault="00E96B76" w:rsidP="00FE475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6808">
        <w:rPr>
          <w:rFonts w:ascii="Times New Roman" w:hAnsi="Times New Roman"/>
          <w:sz w:val="24"/>
          <w:szCs w:val="24"/>
        </w:rPr>
        <w:t xml:space="preserve">Az </w:t>
      </w:r>
      <w:r w:rsidR="003D62BB" w:rsidRPr="007F6808">
        <w:rPr>
          <w:rFonts w:ascii="Times New Roman" w:hAnsi="Times New Roman"/>
          <w:sz w:val="24"/>
          <w:szCs w:val="24"/>
        </w:rPr>
        <w:t>Érd</w:t>
      </w:r>
      <w:r w:rsidR="00916597" w:rsidRPr="007F6808">
        <w:rPr>
          <w:rFonts w:ascii="Times New Roman" w:hAnsi="Times New Roman"/>
          <w:sz w:val="24"/>
          <w:szCs w:val="24"/>
        </w:rPr>
        <w:t xml:space="preserve"> HTP </w:t>
      </w:r>
      <w:r w:rsidR="005017CF">
        <w:rPr>
          <w:rFonts w:ascii="Times New Roman" w:hAnsi="Times New Roman"/>
          <w:sz w:val="24"/>
          <w:szCs w:val="24"/>
        </w:rPr>
        <w:t>és a Törökbálint</w:t>
      </w:r>
      <w:r w:rsidR="007F6808" w:rsidRPr="007F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808" w:rsidRPr="007F6808">
        <w:rPr>
          <w:rFonts w:ascii="Times New Roman" w:hAnsi="Times New Roman"/>
          <w:sz w:val="24"/>
          <w:szCs w:val="24"/>
        </w:rPr>
        <w:t>KvŐ</w:t>
      </w:r>
      <w:proofErr w:type="spellEnd"/>
      <w:r w:rsidR="007F6808" w:rsidRPr="007F6808">
        <w:rPr>
          <w:rFonts w:ascii="Times New Roman" w:hAnsi="Times New Roman"/>
          <w:sz w:val="24"/>
          <w:szCs w:val="24"/>
        </w:rPr>
        <w:t xml:space="preserve"> </w:t>
      </w:r>
      <w:r w:rsidR="00916597" w:rsidRPr="007F6808">
        <w:rPr>
          <w:rFonts w:ascii="Times New Roman" w:hAnsi="Times New Roman"/>
          <w:sz w:val="24"/>
          <w:szCs w:val="24"/>
        </w:rPr>
        <w:t xml:space="preserve">állománya </w:t>
      </w:r>
      <w:r w:rsidR="007F6808" w:rsidRPr="007F6808">
        <w:rPr>
          <w:rFonts w:ascii="Times New Roman" w:hAnsi="Times New Roman"/>
          <w:sz w:val="24"/>
          <w:szCs w:val="24"/>
        </w:rPr>
        <w:t>21 helyszínen 59</w:t>
      </w:r>
      <w:r w:rsidR="005C19CD" w:rsidRPr="007F6808">
        <w:rPr>
          <w:rFonts w:ascii="Times New Roman" w:hAnsi="Times New Roman"/>
          <w:sz w:val="24"/>
          <w:szCs w:val="24"/>
        </w:rPr>
        <w:t xml:space="preserve"> helyismereti foglalkozást, </w:t>
      </w:r>
      <w:r w:rsidR="007F6808" w:rsidRPr="007F6808">
        <w:rPr>
          <w:rFonts w:ascii="Times New Roman" w:hAnsi="Times New Roman"/>
          <w:sz w:val="24"/>
          <w:szCs w:val="24"/>
        </w:rPr>
        <w:t>6</w:t>
      </w:r>
      <w:r w:rsidR="005C19CD" w:rsidRPr="007F6808">
        <w:rPr>
          <w:rFonts w:ascii="Times New Roman" w:hAnsi="Times New Roman"/>
          <w:sz w:val="24"/>
          <w:szCs w:val="24"/>
        </w:rPr>
        <w:t xml:space="preserve"> ellenőrző gyakorlatot hajtott végre, valamint </w:t>
      </w:r>
      <w:r w:rsidR="007F6808" w:rsidRPr="007F6808">
        <w:rPr>
          <w:rFonts w:ascii="Times New Roman" w:hAnsi="Times New Roman"/>
          <w:sz w:val="24"/>
          <w:szCs w:val="24"/>
        </w:rPr>
        <w:t xml:space="preserve">12 </w:t>
      </w:r>
      <w:r w:rsidR="00C46386">
        <w:rPr>
          <w:rFonts w:ascii="Times New Roman" w:hAnsi="Times New Roman"/>
          <w:sz w:val="24"/>
          <w:szCs w:val="24"/>
        </w:rPr>
        <w:t>szituációs begyakorló gyakorlatot</w:t>
      </w:r>
      <w:r w:rsidR="005C19CD" w:rsidRPr="00A35114">
        <w:rPr>
          <w:rFonts w:ascii="Times New Roman" w:hAnsi="Times New Roman"/>
          <w:sz w:val="24"/>
          <w:szCs w:val="24"/>
        </w:rPr>
        <w:t>.</w:t>
      </w:r>
      <w:r w:rsidR="00916597">
        <w:rPr>
          <w:rFonts w:ascii="Times New Roman" w:hAnsi="Times New Roman"/>
          <w:sz w:val="24"/>
          <w:szCs w:val="24"/>
        </w:rPr>
        <w:t xml:space="preserve"> </w:t>
      </w:r>
    </w:p>
    <w:p w14:paraId="67971C37" w14:textId="13B10C51" w:rsidR="00916597" w:rsidRPr="007925AA" w:rsidRDefault="00C546EB" w:rsidP="005E0D0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helyszíne</w:t>
      </w:r>
      <w:r w:rsidR="00C46386">
        <w:rPr>
          <w:rFonts w:ascii="Times New Roman" w:hAnsi="Times New Roman"/>
          <w:sz w:val="24"/>
          <w:szCs w:val="24"/>
        </w:rPr>
        <w:t>k kiválasztásánál minden esetben</w:t>
      </w:r>
      <w:r w:rsidR="00916597">
        <w:rPr>
          <w:rFonts w:ascii="Times New Roman" w:hAnsi="Times New Roman"/>
          <w:sz w:val="24"/>
          <w:szCs w:val="24"/>
        </w:rPr>
        <w:t xml:space="preserve"> kiemelt figyelmet fordítottunk a működési területünkön található ipari létesítményekre, valamint a gyakorlataink helyszíneinek tervezéshez </w:t>
      </w:r>
      <w:r w:rsidR="00EF79DB">
        <w:rPr>
          <w:rFonts w:ascii="Times New Roman" w:hAnsi="Times New Roman"/>
          <w:sz w:val="24"/>
          <w:szCs w:val="24"/>
        </w:rPr>
        <w:t>a</w:t>
      </w:r>
      <w:r w:rsidR="00916597">
        <w:rPr>
          <w:rFonts w:ascii="Times New Roman" w:hAnsi="Times New Roman"/>
          <w:sz w:val="24"/>
          <w:szCs w:val="24"/>
        </w:rPr>
        <w:t xml:space="preserve"> szakmai iránymutatás</w:t>
      </w:r>
      <w:r w:rsidR="00EF79DB">
        <w:rPr>
          <w:rFonts w:ascii="Times New Roman" w:hAnsi="Times New Roman"/>
          <w:sz w:val="24"/>
          <w:szCs w:val="24"/>
        </w:rPr>
        <w:t>okat</w:t>
      </w:r>
      <w:r w:rsidR="00916597">
        <w:rPr>
          <w:rFonts w:ascii="Times New Roman" w:hAnsi="Times New Roman"/>
          <w:sz w:val="24"/>
          <w:szCs w:val="24"/>
        </w:rPr>
        <w:t>, és a helyi sajátosságokat</w:t>
      </w:r>
      <w:r w:rsidR="00EF79DB" w:rsidRPr="00EF79DB">
        <w:rPr>
          <w:rFonts w:ascii="Times New Roman" w:hAnsi="Times New Roman"/>
          <w:sz w:val="24"/>
          <w:szCs w:val="24"/>
        </w:rPr>
        <w:t xml:space="preserve"> </w:t>
      </w:r>
      <w:r w:rsidR="00EF79DB">
        <w:rPr>
          <w:rFonts w:ascii="Times New Roman" w:hAnsi="Times New Roman"/>
          <w:sz w:val="24"/>
          <w:szCs w:val="24"/>
        </w:rPr>
        <w:t>figyelembe vettük</w:t>
      </w:r>
      <w:r w:rsidR="00916597">
        <w:rPr>
          <w:rFonts w:ascii="Times New Roman" w:hAnsi="Times New Roman"/>
          <w:sz w:val="24"/>
          <w:szCs w:val="24"/>
        </w:rPr>
        <w:t>. Parancsnokságunkon elsősegély-</w:t>
      </w:r>
      <w:r w:rsidR="00916597" w:rsidRPr="007925AA">
        <w:rPr>
          <w:rFonts w:ascii="Times New Roman" w:hAnsi="Times New Roman"/>
          <w:sz w:val="24"/>
          <w:szCs w:val="24"/>
        </w:rPr>
        <w:t xml:space="preserve">nyújtási </w:t>
      </w:r>
      <w:r w:rsidR="00916597">
        <w:rPr>
          <w:rFonts w:ascii="Times New Roman" w:hAnsi="Times New Roman"/>
          <w:sz w:val="24"/>
          <w:szCs w:val="24"/>
        </w:rPr>
        <w:t>képzések végrehajtásába a készenléti szolgálatban e végzettséggel rendelkező kollégák bevonására is sor került.</w:t>
      </w:r>
      <w:r w:rsidR="00916597" w:rsidRPr="007A229A">
        <w:rPr>
          <w:rFonts w:ascii="Times New Roman" w:hAnsi="Times New Roman"/>
          <w:sz w:val="24"/>
          <w:szCs w:val="24"/>
        </w:rPr>
        <w:t xml:space="preserve"> </w:t>
      </w:r>
      <w:r w:rsidR="00916597">
        <w:rPr>
          <w:rFonts w:ascii="Times New Roman" w:hAnsi="Times New Roman"/>
          <w:sz w:val="24"/>
          <w:szCs w:val="24"/>
        </w:rPr>
        <w:t>A</w:t>
      </w:r>
      <w:r w:rsidR="00C46386">
        <w:rPr>
          <w:rFonts w:ascii="Times New Roman" w:hAnsi="Times New Roman"/>
          <w:sz w:val="24"/>
          <w:szCs w:val="24"/>
        </w:rPr>
        <w:t xml:space="preserve"> </w:t>
      </w:r>
      <w:r w:rsidR="00916597">
        <w:rPr>
          <w:rFonts w:ascii="Times New Roman" w:hAnsi="Times New Roman"/>
          <w:sz w:val="24"/>
          <w:szCs w:val="24"/>
        </w:rPr>
        <w:t>foglalkozásokon</w:t>
      </w:r>
      <w:r w:rsidR="00C46386">
        <w:rPr>
          <w:rFonts w:ascii="Times New Roman" w:hAnsi="Times New Roman"/>
          <w:sz w:val="24"/>
          <w:szCs w:val="24"/>
        </w:rPr>
        <w:t xml:space="preserve"> ismét áttekintettük </w:t>
      </w:r>
      <w:r w:rsidR="00916597">
        <w:rPr>
          <w:rFonts w:ascii="Times New Roman" w:hAnsi="Times New Roman"/>
          <w:sz w:val="24"/>
          <w:szCs w:val="24"/>
        </w:rPr>
        <w:t>a különböző mentési és újra</w:t>
      </w:r>
      <w:r w:rsidR="00916597" w:rsidRPr="007925AA">
        <w:rPr>
          <w:rFonts w:ascii="Times New Roman" w:hAnsi="Times New Roman"/>
          <w:sz w:val="24"/>
          <w:szCs w:val="24"/>
        </w:rPr>
        <w:t>élesztési szabályok</w:t>
      </w:r>
      <w:r w:rsidR="00C46386">
        <w:rPr>
          <w:rFonts w:ascii="Times New Roman" w:hAnsi="Times New Roman"/>
          <w:sz w:val="24"/>
          <w:szCs w:val="24"/>
        </w:rPr>
        <w:t>at</w:t>
      </w:r>
      <w:r w:rsidR="00916597" w:rsidRPr="007925AA">
        <w:rPr>
          <w:rFonts w:ascii="Times New Roman" w:hAnsi="Times New Roman"/>
          <w:sz w:val="24"/>
          <w:szCs w:val="24"/>
        </w:rPr>
        <w:t>, technikák</w:t>
      </w:r>
      <w:r w:rsidR="00C46386">
        <w:rPr>
          <w:rFonts w:ascii="Times New Roman" w:hAnsi="Times New Roman"/>
          <w:sz w:val="24"/>
          <w:szCs w:val="24"/>
        </w:rPr>
        <w:t>at</w:t>
      </w:r>
      <w:r w:rsidR="00916597" w:rsidRPr="007925AA">
        <w:rPr>
          <w:rFonts w:ascii="Times New Roman" w:hAnsi="Times New Roman"/>
          <w:sz w:val="24"/>
          <w:szCs w:val="24"/>
        </w:rPr>
        <w:t>.  KRESZ oktatásoka</w:t>
      </w:r>
      <w:r w:rsidR="00E96B76">
        <w:rPr>
          <w:rFonts w:ascii="Times New Roman" w:hAnsi="Times New Roman"/>
          <w:sz w:val="24"/>
          <w:szCs w:val="24"/>
        </w:rPr>
        <w:t>t szervez</w:t>
      </w:r>
      <w:r w:rsidR="00C46386">
        <w:rPr>
          <w:rFonts w:ascii="Times New Roman" w:hAnsi="Times New Roman"/>
          <w:sz w:val="24"/>
          <w:szCs w:val="24"/>
        </w:rPr>
        <w:t>t</w:t>
      </w:r>
      <w:r w:rsidR="00916597">
        <w:rPr>
          <w:rFonts w:ascii="Times New Roman" w:hAnsi="Times New Roman"/>
          <w:sz w:val="24"/>
          <w:szCs w:val="24"/>
        </w:rPr>
        <w:t xml:space="preserve">ünk, </w:t>
      </w:r>
      <w:r w:rsidR="00D5582E">
        <w:rPr>
          <w:rFonts w:ascii="Times New Roman" w:hAnsi="Times New Roman"/>
          <w:sz w:val="24"/>
          <w:szCs w:val="24"/>
        </w:rPr>
        <w:t>a</w:t>
      </w:r>
      <w:r w:rsidR="00916597">
        <w:rPr>
          <w:rFonts w:ascii="Times New Roman" w:hAnsi="Times New Roman"/>
          <w:sz w:val="24"/>
          <w:szCs w:val="24"/>
        </w:rPr>
        <w:t>melyhez a helyi rendőrkapitá</w:t>
      </w:r>
      <w:r w:rsidR="002D7D53">
        <w:rPr>
          <w:rFonts w:ascii="Times New Roman" w:hAnsi="Times New Roman"/>
          <w:sz w:val="24"/>
          <w:szCs w:val="24"/>
        </w:rPr>
        <w:t>nyság nyújt</w:t>
      </w:r>
      <w:r w:rsidR="00C46386">
        <w:rPr>
          <w:rFonts w:ascii="Times New Roman" w:hAnsi="Times New Roman"/>
          <w:sz w:val="24"/>
          <w:szCs w:val="24"/>
        </w:rPr>
        <w:t>ott</w:t>
      </w:r>
      <w:r w:rsidR="002D7D53">
        <w:rPr>
          <w:rFonts w:ascii="Times New Roman" w:hAnsi="Times New Roman"/>
          <w:sz w:val="24"/>
          <w:szCs w:val="24"/>
        </w:rPr>
        <w:t xml:space="preserve"> szakmai segítséget. </w:t>
      </w:r>
    </w:p>
    <w:p w14:paraId="5D627785" w14:textId="6C6F5C55" w:rsidR="00916597" w:rsidRPr="00CD70B6" w:rsidRDefault="00C46386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CD70B6">
        <w:rPr>
          <w:rFonts w:ascii="Times New Roman" w:hAnsi="Times New Roman"/>
          <w:sz w:val="24"/>
          <w:szCs w:val="24"/>
        </w:rPr>
        <w:t>Működési területünkön az önkéntes egyesületek mentő tűzvédelmi képességeik fejlesztésére a képzések alkalm</w:t>
      </w:r>
      <w:r>
        <w:rPr>
          <w:rFonts w:ascii="Times New Roman" w:hAnsi="Times New Roman"/>
          <w:sz w:val="24"/>
          <w:szCs w:val="24"/>
        </w:rPr>
        <w:t xml:space="preserve">ával kiemelt figyelmet fordítottunk; a </w:t>
      </w:r>
      <w:r w:rsidR="00916597" w:rsidRPr="00CD70B6">
        <w:rPr>
          <w:rFonts w:ascii="Times New Roman" w:hAnsi="Times New Roman"/>
          <w:sz w:val="24"/>
          <w:szCs w:val="24"/>
        </w:rPr>
        <w:t xml:space="preserve">különböző szintű gyakorlatokba, képesség </w:t>
      </w:r>
      <w:r>
        <w:rPr>
          <w:rFonts w:ascii="Times New Roman" w:hAnsi="Times New Roman"/>
          <w:sz w:val="24"/>
          <w:szCs w:val="24"/>
        </w:rPr>
        <w:t>szerint történő aktív bevonásukra</w:t>
      </w:r>
      <w:r w:rsidR="00916597" w:rsidRPr="00CD70B6">
        <w:rPr>
          <w:rFonts w:ascii="Times New Roman" w:hAnsi="Times New Roman"/>
          <w:sz w:val="24"/>
          <w:szCs w:val="24"/>
        </w:rPr>
        <w:t xml:space="preserve"> </w:t>
      </w:r>
      <w:r w:rsidR="00E96B76">
        <w:rPr>
          <w:rFonts w:ascii="Times New Roman" w:hAnsi="Times New Roman"/>
          <w:sz w:val="24"/>
          <w:szCs w:val="24"/>
        </w:rPr>
        <w:t>folyamatosan töreked</w:t>
      </w:r>
      <w:r w:rsidR="005864E3">
        <w:rPr>
          <w:rFonts w:ascii="Times New Roman" w:hAnsi="Times New Roman"/>
          <w:sz w:val="24"/>
          <w:szCs w:val="24"/>
        </w:rPr>
        <w:t>t</w:t>
      </w:r>
      <w:r w:rsidR="00916597" w:rsidRPr="00CD70B6">
        <w:rPr>
          <w:rFonts w:ascii="Times New Roman" w:hAnsi="Times New Roman"/>
          <w:sz w:val="24"/>
          <w:szCs w:val="24"/>
        </w:rPr>
        <w:t xml:space="preserve">ünk. </w:t>
      </w:r>
    </w:p>
    <w:p w14:paraId="259008C7" w14:textId="54D0E4DA" w:rsidR="00916597" w:rsidRDefault="00916597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7925AA">
        <w:rPr>
          <w:rFonts w:ascii="Times New Roman" w:hAnsi="Times New Roman"/>
          <w:sz w:val="24"/>
          <w:szCs w:val="24"/>
        </w:rPr>
        <w:t xml:space="preserve">Készenléti állományunk vonatkozásában is nagyobb hangsúlyt fektettünk az életszerű gyakorlatok tartására, </w:t>
      </w:r>
      <w:r w:rsidR="00D5582E">
        <w:rPr>
          <w:rFonts w:ascii="Times New Roman" w:hAnsi="Times New Roman"/>
          <w:sz w:val="24"/>
          <w:szCs w:val="24"/>
        </w:rPr>
        <w:t>a</w:t>
      </w:r>
      <w:r w:rsidRPr="007925AA"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z w:val="24"/>
          <w:szCs w:val="24"/>
        </w:rPr>
        <w:t>ynek elérése érdekében</w:t>
      </w:r>
      <w:r w:rsidRPr="007925AA"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 xml:space="preserve">emléltető eszközöket alkalmaztunk, valóság közeli szituációkat teremtettünk az újabb taktikai beavatkozási megoldások </w:t>
      </w:r>
      <w:r w:rsidR="00584123">
        <w:rPr>
          <w:rFonts w:ascii="Times New Roman" w:hAnsi="Times New Roman"/>
          <w:sz w:val="24"/>
          <w:szCs w:val="24"/>
        </w:rPr>
        <w:t>el</w:t>
      </w:r>
      <w:r w:rsidR="00E96B76">
        <w:rPr>
          <w:rFonts w:ascii="Times New Roman" w:hAnsi="Times New Roman"/>
          <w:sz w:val="24"/>
          <w:szCs w:val="24"/>
        </w:rPr>
        <w:t>őmozdítására.</w:t>
      </w:r>
    </w:p>
    <w:p w14:paraId="18049EB1" w14:textId="77777777" w:rsidR="00D0774E" w:rsidRDefault="00D0774E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4BE820" w14:textId="77777777" w:rsidR="00D0774E" w:rsidRDefault="00D0774E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B14BAE2" w14:textId="77777777" w:rsidR="00D0774E" w:rsidRDefault="00D0774E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527732" w14:textId="77777777" w:rsidR="00D0774E" w:rsidRDefault="00D0774E" w:rsidP="00FE475F">
      <w:pPr>
        <w:tabs>
          <w:tab w:val="left" w:pos="284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5C80A98" w14:textId="77777777" w:rsidR="00916597" w:rsidRPr="00CB788C" w:rsidRDefault="00916597" w:rsidP="00916597">
      <w:pPr>
        <w:pStyle w:val="Cmsor1"/>
        <w:spacing w:before="100" w:beforeAutospacing="1" w:after="100" w:afterAutospacing="1" w:line="240" w:lineRule="atLeast"/>
        <w:rPr>
          <w:b/>
        </w:rPr>
      </w:pPr>
      <w:bookmarkStart w:id="4" w:name="_Toc5110155"/>
      <w:bookmarkStart w:id="5" w:name="_Toc40190329"/>
      <w:bookmarkEnd w:id="3"/>
      <w:r w:rsidRPr="007925AA">
        <w:rPr>
          <w:b/>
        </w:rPr>
        <w:lastRenderedPageBreak/>
        <w:t xml:space="preserve">IV. </w:t>
      </w:r>
      <w:bookmarkEnd w:id="4"/>
      <w:bookmarkEnd w:id="5"/>
      <w:r w:rsidRPr="007925AA">
        <w:rPr>
          <w:b/>
        </w:rPr>
        <w:t>Tűzvédelem, megelőzés</w:t>
      </w:r>
    </w:p>
    <w:p w14:paraId="39E2B3B0" w14:textId="6D554EBA" w:rsidR="005864E3" w:rsidRPr="005864E3" w:rsidRDefault="005864E3" w:rsidP="005864E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tűzoltó beavatkozások jellemző, esetlegesen visszatérő tűzeseti helyszíneinek vizsgálatával a korábbi tapasztalatokat figyelembe véve preventíven elemeztük a káreseményeket. A szabadterületi tüzek megelőzése és visszaszorítása tárgyában a gazdálkodókkal folyamatosan kapcsolatban voltunk. Az ellenőrzési és a tűzmegelőzési tevékenység eredményeként tovább csökkent az erdő,- vegetáció karbantartásának hiányában kialakult tüzek száma. A HTP személyi állománya hatósági eljárási részcselekményeket végez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KvK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szakmai iránymutatása alapján.</w:t>
      </w:r>
    </w:p>
    <w:p w14:paraId="2A53651D" w14:textId="1632159F" w:rsidR="00C97354" w:rsidRPr="00C97354" w:rsidRDefault="00C97354" w:rsidP="00C9735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0627EE">
        <w:rPr>
          <w:rFonts w:ascii="Times New Roman" w:hAnsi="Times New Roman"/>
          <w:color w:val="000000"/>
          <w:sz w:val="24"/>
          <w:szCs w:val="24"/>
        </w:rPr>
        <w:t>Területi Tűzmegelőzési Bizottság munkáját támogatva szóbeli és írásos tájékoztatás történt a szezonális tűzvédelmi kérdésekkel kapcsolatban</w:t>
      </w:r>
      <w:r>
        <w:rPr>
          <w:rFonts w:ascii="Times New Roman" w:hAnsi="Times New Roman"/>
          <w:color w:val="000000"/>
          <w:sz w:val="24"/>
          <w:szCs w:val="24"/>
        </w:rPr>
        <w:t xml:space="preserve"> (tüzelő-fűtőberendezések, égéstermék-elvezetők tüze,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CO-mérgezések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szabadtéri tüzek stb.). Tűzvédelmi előadások során a végzős osztályoknál toborzási céllal felvételi tájékoztatást tartottunk és népszerűsítettük a tűzoltó hivatást.</w:t>
      </w:r>
    </w:p>
    <w:p w14:paraId="6925DB04" w14:textId="34C0FD7B" w:rsidR="00916597" w:rsidRDefault="00916597" w:rsidP="00C973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25A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készenléti szolgálat</w:t>
      </w:r>
      <w:r w:rsidRPr="007925AA">
        <w:rPr>
          <w:rFonts w:ascii="Times New Roman" w:hAnsi="Times New Roman"/>
          <w:sz w:val="24"/>
          <w:szCs w:val="24"/>
        </w:rPr>
        <w:t xml:space="preserve"> </w:t>
      </w:r>
      <w:r w:rsidR="00E96B76">
        <w:rPr>
          <w:rFonts w:ascii="Times New Roman" w:hAnsi="Times New Roman"/>
          <w:sz w:val="24"/>
          <w:szCs w:val="24"/>
        </w:rPr>
        <w:t xml:space="preserve">a </w:t>
      </w:r>
      <w:r w:rsidRPr="007925AA">
        <w:rPr>
          <w:rFonts w:ascii="Times New Roman" w:hAnsi="Times New Roman"/>
          <w:sz w:val="24"/>
          <w:szCs w:val="24"/>
        </w:rPr>
        <w:t>szermozg</w:t>
      </w:r>
      <w:r w:rsidR="00E96B76">
        <w:rPr>
          <w:rFonts w:ascii="Times New Roman" w:hAnsi="Times New Roman"/>
          <w:sz w:val="24"/>
          <w:szCs w:val="24"/>
        </w:rPr>
        <w:t>áso</w:t>
      </w:r>
      <w:r w:rsidRPr="007925AA">
        <w:rPr>
          <w:rFonts w:ascii="Times New Roman" w:hAnsi="Times New Roman"/>
          <w:sz w:val="24"/>
          <w:szCs w:val="24"/>
        </w:rPr>
        <w:t>k alkalmával</w:t>
      </w:r>
      <w:r>
        <w:rPr>
          <w:rFonts w:ascii="Times New Roman" w:hAnsi="Times New Roman"/>
          <w:sz w:val="24"/>
          <w:szCs w:val="24"/>
        </w:rPr>
        <w:t xml:space="preserve"> vett részt a preventív munkában, </w:t>
      </w:r>
      <w:r w:rsidRPr="00642610">
        <w:rPr>
          <w:rFonts w:ascii="Times New Roman" w:hAnsi="Times New Roman"/>
          <w:sz w:val="24"/>
          <w:szCs w:val="24"/>
        </w:rPr>
        <w:t>ellenőrzéseket</w:t>
      </w:r>
      <w:r w:rsidRPr="00F46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hajtottak </w:t>
      </w:r>
      <w:r w:rsidR="009555B6">
        <w:rPr>
          <w:rFonts w:ascii="Times New Roman" w:hAnsi="Times New Roman"/>
          <w:sz w:val="24"/>
          <w:szCs w:val="24"/>
        </w:rPr>
        <w:t xml:space="preserve">végre a </w:t>
      </w:r>
      <w:r w:rsidRPr="007925AA">
        <w:rPr>
          <w:rFonts w:ascii="Times New Roman" w:hAnsi="Times New Roman"/>
          <w:sz w:val="24"/>
          <w:szCs w:val="24"/>
        </w:rPr>
        <w:t>szabadtéri</w:t>
      </w:r>
      <w:r>
        <w:rPr>
          <w:rFonts w:ascii="Times New Roman" w:hAnsi="Times New Roman"/>
          <w:sz w:val="24"/>
          <w:szCs w:val="24"/>
        </w:rPr>
        <w:t xml:space="preserve"> tűzesetek által érintett</w:t>
      </w:r>
      <w:r w:rsidRPr="007925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továbbá szabadtéri rendezvények, vízelvezetők, </w:t>
      </w:r>
      <w:r w:rsidRPr="007925AA">
        <w:rPr>
          <w:rFonts w:ascii="Times New Roman" w:hAnsi="Times New Roman"/>
          <w:sz w:val="24"/>
          <w:szCs w:val="24"/>
        </w:rPr>
        <w:t xml:space="preserve">illetve téli </w:t>
      </w:r>
      <w:r w:rsidRPr="00642610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ckázati</w:t>
      </w:r>
      <w:r w:rsidR="00955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helyszíneken</w:t>
      </w:r>
      <w:r w:rsidRPr="00642610">
        <w:rPr>
          <w:rFonts w:ascii="Times New Roman" w:hAnsi="Times New Roman"/>
          <w:sz w:val="24"/>
          <w:szCs w:val="24"/>
        </w:rPr>
        <w:t>, ezzel is elősegítve a hatósági eljárások</w:t>
      </w:r>
      <w:r w:rsidR="005F46AA">
        <w:rPr>
          <w:rFonts w:ascii="Times New Roman" w:hAnsi="Times New Roman"/>
          <w:sz w:val="24"/>
          <w:szCs w:val="24"/>
        </w:rPr>
        <w:t xml:space="preserve"> hatékony lefolytatását. </w:t>
      </w:r>
    </w:p>
    <w:p w14:paraId="59C50B98" w14:textId="77777777" w:rsidR="00916597" w:rsidRPr="0015341A" w:rsidRDefault="00916597" w:rsidP="00FE475F">
      <w:pPr>
        <w:pStyle w:val="Cmsor1"/>
        <w:spacing w:before="100" w:beforeAutospacing="1" w:after="100" w:afterAutospacing="1"/>
        <w:rPr>
          <w:b/>
        </w:rPr>
      </w:pPr>
      <w:bookmarkStart w:id="6" w:name="_Toc5110153"/>
      <w:bookmarkStart w:id="7" w:name="_Toc40190327"/>
      <w:r w:rsidRPr="007925AA">
        <w:rPr>
          <w:b/>
        </w:rPr>
        <w:t>V. Szakmai felügyeleti tevékenység, ellenőrzések</w:t>
      </w:r>
      <w:bookmarkEnd w:id="6"/>
      <w:bookmarkEnd w:id="7"/>
    </w:p>
    <w:p w14:paraId="775AA334" w14:textId="10CD096B" w:rsidR="00916597" w:rsidRDefault="00C25C89" w:rsidP="00FE475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3D62BB">
        <w:rPr>
          <w:rFonts w:ascii="Times New Roman" w:hAnsi="Times New Roman"/>
          <w:sz w:val="24"/>
          <w:szCs w:val="24"/>
        </w:rPr>
        <w:t>Érd</w:t>
      </w:r>
      <w:r w:rsidR="00916597">
        <w:rPr>
          <w:rFonts w:ascii="Times New Roman" w:hAnsi="Times New Roman"/>
          <w:sz w:val="24"/>
          <w:szCs w:val="24"/>
        </w:rPr>
        <w:t xml:space="preserve"> HTP </w:t>
      </w:r>
      <w:r w:rsidR="007B3585" w:rsidRPr="007B3585">
        <w:rPr>
          <w:rFonts w:ascii="Times New Roman" w:hAnsi="Times New Roman"/>
          <w:sz w:val="24"/>
          <w:szCs w:val="24"/>
        </w:rPr>
        <w:t>9</w:t>
      </w:r>
      <w:r w:rsidR="00CA7C9A">
        <w:rPr>
          <w:rFonts w:ascii="Times New Roman" w:hAnsi="Times New Roman"/>
          <w:sz w:val="24"/>
          <w:szCs w:val="24"/>
        </w:rPr>
        <w:t xml:space="preserve"> önkéntes tűzoltó egyesület</w:t>
      </w:r>
      <w:r w:rsidR="00EF79DB">
        <w:rPr>
          <w:rFonts w:ascii="Times New Roman" w:hAnsi="Times New Roman"/>
          <w:sz w:val="24"/>
          <w:szCs w:val="24"/>
        </w:rPr>
        <w:t xml:space="preserve"> </w:t>
      </w:r>
      <w:r w:rsidR="00916597">
        <w:rPr>
          <w:rFonts w:ascii="Times New Roman" w:hAnsi="Times New Roman"/>
          <w:sz w:val="24"/>
          <w:szCs w:val="24"/>
        </w:rPr>
        <w:t>(</w:t>
      </w:r>
      <w:r w:rsidR="00CA7C9A">
        <w:rPr>
          <w:rFonts w:ascii="Times New Roman" w:hAnsi="Times New Roman"/>
          <w:sz w:val="24"/>
          <w:szCs w:val="24"/>
        </w:rPr>
        <w:t xml:space="preserve">a </w:t>
      </w:r>
      <w:r w:rsidR="00916597">
        <w:rPr>
          <w:rFonts w:ascii="Times New Roman" w:hAnsi="Times New Roman"/>
          <w:sz w:val="24"/>
          <w:szCs w:val="24"/>
        </w:rPr>
        <w:t>továbbiakban</w:t>
      </w:r>
      <w:r w:rsidR="00D5582E">
        <w:rPr>
          <w:rFonts w:ascii="Times New Roman" w:hAnsi="Times New Roman"/>
          <w:sz w:val="24"/>
          <w:szCs w:val="24"/>
        </w:rPr>
        <w:t>:</w:t>
      </w:r>
      <w:r w:rsidR="00916597">
        <w:rPr>
          <w:rFonts w:ascii="Times New Roman" w:hAnsi="Times New Roman"/>
          <w:sz w:val="24"/>
          <w:szCs w:val="24"/>
        </w:rPr>
        <w:t xml:space="preserve"> ÖTE)</w:t>
      </w:r>
      <w:r w:rsidR="00F027E5">
        <w:rPr>
          <w:rFonts w:ascii="Times New Roman" w:hAnsi="Times New Roman"/>
          <w:sz w:val="24"/>
          <w:szCs w:val="24"/>
        </w:rPr>
        <w:t>,</w:t>
      </w:r>
      <w:r w:rsidR="00916597" w:rsidRPr="007925AA">
        <w:rPr>
          <w:rFonts w:ascii="Times New Roman" w:hAnsi="Times New Roman"/>
          <w:sz w:val="24"/>
          <w:szCs w:val="24"/>
        </w:rPr>
        <w:t xml:space="preserve"> egy </w:t>
      </w:r>
      <w:r w:rsidR="000878FE">
        <w:rPr>
          <w:rFonts w:ascii="Times New Roman" w:hAnsi="Times New Roman"/>
          <w:sz w:val="24"/>
          <w:szCs w:val="24"/>
        </w:rPr>
        <w:t>ö</w:t>
      </w:r>
      <w:r w:rsidR="00916597" w:rsidRPr="007925AA">
        <w:rPr>
          <w:rFonts w:ascii="Times New Roman" w:hAnsi="Times New Roman"/>
          <w:sz w:val="24"/>
          <w:szCs w:val="24"/>
        </w:rPr>
        <w:t>nko</w:t>
      </w:r>
      <w:r w:rsidR="00916597">
        <w:rPr>
          <w:rFonts w:ascii="Times New Roman" w:hAnsi="Times New Roman"/>
          <w:sz w:val="24"/>
          <w:szCs w:val="24"/>
        </w:rPr>
        <w:t xml:space="preserve">rmányzati </w:t>
      </w:r>
      <w:r w:rsidR="000878FE">
        <w:rPr>
          <w:rFonts w:ascii="Times New Roman" w:hAnsi="Times New Roman"/>
          <w:sz w:val="24"/>
          <w:szCs w:val="24"/>
        </w:rPr>
        <w:t>t</w:t>
      </w:r>
      <w:r w:rsidR="00916597">
        <w:rPr>
          <w:rFonts w:ascii="Times New Roman" w:hAnsi="Times New Roman"/>
          <w:sz w:val="24"/>
          <w:szCs w:val="24"/>
        </w:rPr>
        <w:t>űzoltó</w:t>
      </w:r>
      <w:r w:rsidR="00245992">
        <w:rPr>
          <w:rFonts w:ascii="Times New Roman" w:hAnsi="Times New Roman"/>
          <w:sz w:val="24"/>
          <w:szCs w:val="24"/>
        </w:rPr>
        <w:t>-</w:t>
      </w:r>
      <w:r w:rsidR="00916597">
        <w:rPr>
          <w:rFonts w:ascii="Times New Roman" w:hAnsi="Times New Roman"/>
          <w:sz w:val="24"/>
          <w:szCs w:val="24"/>
        </w:rPr>
        <w:t xml:space="preserve">parancsnokság </w:t>
      </w:r>
      <w:r w:rsidR="00F027E5">
        <w:rPr>
          <w:rFonts w:ascii="Times New Roman" w:hAnsi="Times New Roman"/>
          <w:sz w:val="24"/>
          <w:szCs w:val="24"/>
        </w:rPr>
        <w:t xml:space="preserve">és a FER Tűzoltóság százhalombattai erőinek </w:t>
      </w:r>
      <w:r w:rsidR="00916597" w:rsidRPr="007925AA">
        <w:rPr>
          <w:rFonts w:ascii="Times New Roman" w:hAnsi="Times New Roman"/>
          <w:sz w:val="24"/>
          <w:szCs w:val="24"/>
        </w:rPr>
        <w:t>szakmai felügyeletét látja el</w:t>
      </w:r>
      <w:r w:rsidR="00F027E5">
        <w:rPr>
          <w:rFonts w:ascii="Times New Roman" w:hAnsi="Times New Roman"/>
          <w:sz w:val="24"/>
          <w:szCs w:val="24"/>
        </w:rPr>
        <w:t xml:space="preserve">. </w:t>
      </w:r>
      <w:r w:rsidR="00C46386">
        <w:rPr>
          <w:rFonts w:ascii="Times New Roman" w:hAnsi="Times New Roman"/>
          <w:sz w:val="24"/>
          <w:szCs w:val="24"/>
        </w:rPr>
        <w:t xml:space="preserve">Kiemelten támogatjuk a </w:t>
      </w:r>
      <w:r w:rsidR="005864E3">
        <w:rPr>
          <w:rFonts w:ascii="Times New Roman" w:hAnsi="Times New Roman"/>
          <w:sz w:val="24"/>
          <w:szCs w:val="24"/>
        </w:rPr>
        <w:t>fejlődés</w:t>
      </w:r>
      <w:r w:rsidR="00C46386">
        <w:rPr>
          <w:rFonts w:ascii="Times New Roman" w:hAnsi="Times New Roman"/>
          <w:sz w:val="24"/>
          <w:szCs w:val="24"/>
        </w:rPr>
        <w:t>t</w:t>
      </w:r>
      <w:r w:rsidR="00916597" w:rsidRPr="007925AA">
        <w:rPr>
          <w:rFonts w:ascii="Times New Roman" w:hAnsi="Times New Roman"/>
          <w:sz w:val="24"/>
          <w:szCs w:val="24"/>
        </w:rPr>
        <w:t>,</w:t>
      </w:r>
      <w:r w:rsidR="005864E3">
        <w:rPr>
          <w:rFonts w:ascii="Times New Roman" w:hAnsi="Times New Roman"/>
          <w:sz w:val="24"/>
          <w:szCs w:val="24"/>
        </w:rPr>
        <w:t xml:space="preserve"> a beavatkozások szakszerűségé</w:t>
      </w:r>
      <w:r w:rsidR="00C46386">
        <w:rPr>
          <w:rFonts w:ascii="Times New Roman" w:hAnsi="Times New Roman"/>
          <w:sz w:val="24"/>
          <w:szCs w:val="24"/>
        </w:rPr>
        <w:t>t</w:t>
      </w:r>
      <w:r w:rsidR="005864E3">
        <w:rPr>
          <w:rFonts w:ascii="Times New Roman" w:hAnsi="Times New Roman"/>
          <w:sz w:val="24"/>
          <w:szCs w:val="24"/>
        </w:rPr>
        <w:t xml:space="preserve">. </w:t>
      </w:r>
      <w:r w:rsidR="00CA7C9A">
        <w:rPr>
          <w:rFonts w:ascii="Times New Roman" w:hAnsi="Times New Roman"/>
          <w:sz w:val="24"/>
          <w:szCs w:val="24"/>
        </w:rPr>
        <w:t xml:space="preserve"> </w:t>
      </w:r>
      <w:r w:rsidR="00CA7C9A">
        <w:rPr>
          <w:rFonts w:ascii="Times New Roman" w:hAnsi="Times New Roman"/>
          <w:color w:val="000000"/>
          <w:sz w:val="24"/>
          <w:szCs w:val="24"/>
        </w:rPr>
        <w:t>Fontos szempont v</w:t>
      </w:r>
      <w:r w:rsidR="00C46386">
        <w:rPr>
          <w:rFonts w:ascii="Times New Roman" w:hAnsi="Times New Roman"/>
          <w:color w:val="000000"/>
          <w:sz w:val="24"/>
          <w:szCs w:val="24"/>
        </w:rPr>
        <w:t>olt a személyi állomány szak</w:t>
      </w:r>
      <w:r w:rsidR="00CA7C9A">
        <w:rPr>
          <w:rFonts w:ascii="Times New Roman" w:hAnsi="Times New Roman"/>
          <w:color w:val="000000"/>
          <w:sz w:val="24"/>
          <w:szCs w:val="24"/>
        </w:rPr>
        <w:t>ismereteinek fejlesztése.</w:t>
      </w:r>
    </w:p>
    <w:p w14:paraId="6B33EBB0" w14:textId="59618B4A" w:rsidR="00916597" w:rsidRPr="007925AA" w:rsidRDefault="00916597" w:rsidP="00FE475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7925AA">
        <w:rPr>
          <w:rFonts w:ascii="Times New Roman" w:hAnsi="Times New Roman"/>
          <w:sz w:val="24"/>
          <w:szCs w:val="24"/>
        </w:rPr>
        <w:t>Gyakorlatainkon biztosítjuk</w:t>
      </w:r>
      <w:r w:rsidR="00C546EB">
        <w:rPr>
          <w:rFonts w:ascii="Times New Roman" w:hAnsi="Times New Roman"/>
          <w:sz w:val="24"/>
          <w:szCs w:val="24"/>
        </w:rPr>
        <w:t xml:space="preserve"> a</w:t>
      </w:r>
      <w:r w:rsidRPr="007925AA">
        <w:rPr>
          <w:rFonts w:ascii="Times New Roman" w:hAnsi="Times New Roman"/>
          <w:sz w:val="24"/>
          <w:szCs w:val="24"/>
        </w:rPr>
        <w:t xml:space="preserve"> fejlődés</w:t>
      </w:r>
      <w:r w:rsidR="00EF79DB">
        <w:rPr>
          <w:rFonts w:ascii="Times New Roman" w:hAnsi="Times New Roman"/>
          <w:sz w:val="24"/>
          <w:szCs w:val="24"/>
        </w:rPr>
        <w:t>hez</w:t>
      </w:r>
      <w:r w:rsidRPr="007925AA">
        <w:rPr>
          <w:rFonts w:ascii="Times New Roman" w:hAnsi="Times New Roman"/>
          <w:sz w:val="24"/>
          <w:szCs w:val="24"/>
        </w:rPr>
        <w:t xml:space="preserve"> szükséges tapasztal</w:t>
      </w:r>
      <w:r>
        <w:rPr>
          <w:rFonts w:ascii="Times New Roman" w:hAnsi="Times New Roman"/>
          <w:sz w:val="24"/>
          <w:szCs w:val="24"/>
        </w:rPr>
        <w:t>atszerzés</w:t>
      </w:r>
      <w:r w:rsidR="00EF79D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6A12">
        <w:rPr>
          <w:rFonts w:ascii="Times New Roman" w:hAnsi="Times New Roman"/>
          <w:sz w:val="24"/>
          <w:szCs w:val="24"/>
        </w:rPr>
        <w:t xml:space="preserve">illetve oktatási anyagok biztosításával </w:t>
      </w:r>
      <w:r w:rsidR="00EF79DB">
        <w:rPr>
          <w:rFonts w:ascii="Times New Roman" w:hAnsi="Times New Roman"/>
          <w:sz w:val="24"/>
          <w:szCs w:val="24"/>
        </w:rPr>
        <w:t xml:space="preserve">az </w:t>
      </w:r>
      <w:r w:rsidRPr="00876A12">
        <w:rPr>
          <w:rFonts w:ascii="Times New Roman" w:hAnsi="Times New Roman"/>
          <w:sz w:val="24"/>
          <w:szCs w:val="24"/>
        </w:rPr>
        <w:t>elméleti tudás</w:t>
      </w:r>
      <w:r w:rsidR="00CA7C9A">
        <w:rPr>
          <w:rFonts w:ascii="Times New Roman" w:hAnsi="Times New Roman"/>
          <w:sz w:val="24"/>
          <w:szCs w:val="24"/>
        </w:rPr>
        <w:t>szint</w:t>
      </w:r>
      <w:r w:rsidRPr="00876A12">
        <w:rPr>
          <w:rFonts w:ascii="Times New Roman" w:hAnsi="Times New Roman"/>
          <w:sz w:val="24"/>
          <w:szCs w:val="24"/>
        </w:rPr>
        <w:t xml:space="preserve"> </w:t>
      </w:r>
      <w:r w:rsidR="00CA7C9A">
        <w:rPr>
          <w:rFonts w:ascii="Times New Roman" w:hAnsi="Times New Roman"/>
          <w:sz w:val="24"/>
          <w:szCs w:val="24"/>
        </w:rPr>
        <w:t>növelését</w:t>
      </w:r>
      <w:r w:rsidRPr="00876A12">
        <w:rPr>
          <w:rFonts w:ascii="Times New Roman" w:hAnsi="Times New Roman"/>
          <w:sz w:val="24"/>
          <w:szCs w:val="24"/>
        </w:rPr>
        <w:t xml:space="preserve">. Ellenőrzéseink során vizsgáljuk </w:t>
      </w:r>
      <w:r w:rsidRPr="007925AA">
        <w:rPr>
          <w:rFonts w:ascii="Times New Roman" w:hAnsi="Times New Roman"/>
          <w:sz w:val="24"/>
          <w:szCs w:val="24"/>
        </w:rPr>
        <w:t>a beavatkozáshoz, kárfelszámoláshoz szükséges szakfelszerelések, eszközök, védőfelszerelések meglétét, állapotát, a tagok egészségügyi vizsgálatainak eredményességét, képesítéseinek érvényességét.</w:t>
      </w:r>
    </w:p>
    <w:p w14:paraId="41E5AB0F" w14:textId="77777777" w:rsidR="00916597" w:rsidRPr="00D5582E" w:rsidRDefault="00916597" w:rsidP="00FE475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5582E">
        <w:rPr>
          <w:rFonts w:ascii="Times New Roman" w:hAnsi="Times New Roman"/>
          <w:b/>
          <w:sz w:val="24"/>
          <w:szCs w:val="24"/>
        </w:rPr>
        <w:t>Önkéntes Tűzoltó Egyesületek</w:t>
      </w:r>
    </w:p>
    <w:p w14:paraId="22E03C7C" w14:textId="0F568DA6" w:rsidR="00916597" w:rsidRDefault="00916597" w:rsidP="00C4638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jogszabály által előírt ellenőrzéseket </w:t>
      </w:r>
      <w:r w:rsidRPr="00C25C89">
        <w:rPr>
          <w:rFonts w:ascii="Times New Roman" w:hAnsi="Times New Roman"/>
          <w:sz w:val="24"/>
          <w:szCs w:val="24"/>
          <w:lang w:eastAsia="hu-HU"/>
        </w:rPr>
        <w:t>végrehajtottuk</w:t>
      </w:r>
      <w:r w:rsidR="00C25C89">
        <w:rPr>
          <w:rFonts w:ascii="Times New Roman" w:hAnsi="Times New Roman"/>
          <w:sz w:val="24"/>
          <w:szCs w:val="24"/>
          <w:lang w:eastAsia="hu-HU"/>
        </w:rPr>
        <w:t>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925AA">
        <w:rPr>
          <w:rFonts w:ascii="Times New Roman" w:hAnsi="Times New Roman"/>
          <w:sz w:val="24"/>
          <w:szCs w:val="24"/>
          <w:lang w:eastAsia="hu-HU"/>
        </w:rPr>
        <w:t xml:space="preserve">tapasztalt hiányosságok megszüntetésére </w:t>
      </w:r>
      <w:r>
        <w:rPr>
          <w:rFonts w:ascii="Times New Roman" w:hAnsi="Times New Roman"/>
          <w:sz w:val="24"/>
          <w:szCs w:val="24"/>
          <w:lang w:eastAsia="hu-HU"/>
        </w:rPr>
        <w:t xml:space="preserve">minden esetben </w:t>
      </w:r>
      <w:r w:rsidRPr="007925AA">
        <w:rPr>
          <w:rFonts w:ascii="Times New Roman" w:hAnsi="Times New Roman"/>
          <w:sz w:val="24"/>
          <w:szCs w:val="24"/>
          <w:lang w:eastAsia="hu-HU"/>
        </w:rPr>
        <w:t>intézkedtünk.</w:t>
      </w:r>
    </w:p>
    <w:p w14:paraId="520C8ADA" w14:textId="0E6F81A8" w:rsidR="00916597" w:rsidRDefault="00916597" w:rsidP="00C4638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egyesületekkel kötött együttműködési megállapodásokat </w:t>
      </w:r>
      <w:r w:rsidRPr="007925AA">
        <w:rPr>
          <w:rFonts w:ascii="Times New Roman" w:hAnsi="Times New Roman"/>
          <w:sz w:val="24"/>
          <w:szCs w:val="24"/>
          <w:lang w:eastAsia="hu-HU"/>
        </w:rPr>
        <w:t>felülvizsgáltuk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="00C25C89">
        <w:rPr>
          <w:rFonts w:ascii="Times New Roman" w:hAnsi="Times New Roman"/>
          <w:sz w:val="24"/>
          <w:szCs w:val="24"/>
          <w:lang w:eastAsia="hu-HU"/>
        </w:rPr>
        <w:t xml:space="preserve"> azok módosításár</w:t>
      </w:r>
      <w:r w:rsidR="00EF79DB">
        <w:rPr>
          <w:rFonts w:ascii="Times New Roman" w:hAnsi="Times New Roman"/>
          <w:sz w:val="24"/>
          <w:szCs w:val="24"/>
          <w:lang w:eastAsia="hu-HU"/>
        </w:rPr>
        <w:t>a</w:t>
      </w:r>
      <w:r w:rsidR="00C25C89">
        <w:rPr>
          <w:rFonts w:ascii="Times New Roman" w:hAnsi="Times New Roman"/>
          <w:sz w:val="24"/>
          <w:szCs w:val="24"/>
          <w:lang w:eastAsia="hu-HU"/>
        </w:rPr>
        <w:t xml:space="preserve"> intézkedtünk.</w:t>
      </w:r>
    </w:p>
    <w:p w14:paraId="5221752B" w14:textId="038F9F37" w:rsidR="00916597" w:rsidRPr="003905C2" w:rsidRDefault="007B3585" w:rsidP="00C4638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585">
        <w:rPr>
          <w:rFonts w:ascii="Times New Roman" w:hAnsi="Times New Roman"/>
          <w:sz w:val="24"/>
          <w:szCs w:val="24"/>
        </w:rPr>
        <w:t xml:space="preserve">Az együttműködési megállapodást kötött egyesületek közül a Budaörs </w:t>
      </w:r>
      <w:r w:rsidR="00F027E5">
        <w:rPr>
          <w:rFonts w:ascii="Times New Roman" w:hAnsi="Times New Roman"/>
          <w:sz w:val="24"/>
          <w:szCs w:val="24"/>
        </w:rPr>
        <w:t>(</w:t>
      </w:r>
      <w:r w:rsidR="00565C4D" w:rsidRPr="00565C4D">
        <w:rPr>
          <w:rFonts w:ascii="Times New Roman" w:hAnsi="Times New Roman"/>
          <w:sz w:val="24"/>
          <w:szCs w:val="24"/>
        </w:rPr>
        <w:t xml:space="preserve">153 </w:t>
      </w:r>
      <w:r w:rsidR="00F027E5">
        <w:rPr>
          <w:rFonts w:ascii="Times New Roman" w:hAnsi="Times New Roman"/>
          <w:sz w:val="24"/>
          <w:szCs w:val="24"/>
        </w:rPr>
        <w:t>beavatkozás</w:t>
      </w:r>
      <w:r w:rsidR="00565C4D">
        <w:rPr>
          <w:rFonts w:ascii="Times New Roman" w:hAnsi="Times New Roman"/>
          <w:sz w:val="24"/>
          <w:szCs w:val="24"/>
        </w:rPr>
        <w:t xml:space="preserve"> – 77 önálló</w:t>
      </w:r>
      <w:r w:rsidR="00F027E5">
        <w:rPr>
          <w:rFonts w:ascii="Times New Roman" w:hAnsi="Times New Roman"/>
          <w:sz w:val="24"/>
          <w:szCs w:val="24"/>
        </w:rPr>
        <w:t>)</w:t>
      </w:r>
      <w:r w:rsidR="00EF79DB">
        <w:rPr>
          <w:rFonts w:ascii="Times New Roman" w:hAnsi="Times New Roman"/>
          <w:sz w:val="24"/>
          <w:szCs w:val="24"/>
        </w:rPr>
        <w:t xml:space="preserve"> </w:t>
      </w:r>
      <w:r w:rsidRPr="007B3585">
        <w:rPr>
          <w:rFonts w:ascii="Times New Roman" w:hAnsi="Times New Roman"/>
          <w:sz w:val="24"/>
          <w:szCs w:val="24"/>
        </w:rPr>
        <w:t xml:space="preserve">és a Martonvásár ÖTE </w:t>
      </w:r>
      <w:r w:rsidR="00F027E5">
        <w:rPr>
          <w:rFonts w:ascii="Times New Roman" w:hAnsi="Times New Roman"/>
          <w:sz w:val="24"/>
          <w:szCs w:val="24"/>
        </w:rPr>
        <w:t>(</w:t>
      </w:r>
      <w:r w:rsidR="00565C4D" w:rsidRPr="00565C4D">
        <w:rPr>
          <w:rFonts w:ascii="Times New Roman" w:hAnsi="Times New Roman"/>
          <w:sz w:val="24"/>
          <w:szCs w:val="24"/>
        </w:rPr>
        <w:t>111</w:t>
      </w:r>
      <w:r w:rsidR="00F027E5">
        <w:rPr>
          <w:rFonts w:ascii="Times New Roman" w:hAnsi="Times New Roman"/>
          <w:sz w:val="24"/>
          <w:szCs w:val="24"/>
        </w:rPr>
        <w:t xml:space="preserve"> beavatkozás</w:t>
      </w:r>
      <w:r w:rsidR="00565C4D">
        <w:rPr>
          <w:rFonts w:ascii="Times New Roman" w:hAnsi="Times New Roman"/>
          <w:sz w:val="24"/>
          <w:szCs w:val="24"/>
        </w:rPr>
        <w:t xml:space="preserve"> - 40 önálló</w:t>
      </w:r>
      <w:r w:rsidR="00F027E5">
        <w:rPr>
          <w:rFonts w:ascii="Times New Roman" w:hAnsi="Times New Roman"/>
          <w:sz w:val="24"/>
          <w:szCs w:val="24"/>
        </w:rPr>
        <w:t>)</w:t>
      </w:r>
      <w:r w:rsidR="00565C4D">
        <w:rPr>
          <w:rFonts w:ascii="Times New Roman" w:hAnsi="Times New Roman"/>
          <w:sz w:val="24"/>
          <w:szCs w:val="24"/>
        </w:rPr>
        <w:t xml:space="preserve"> </w:t>
      </w:r>
      <w:r w:rsidRPr="007B3585">
        <w:rPr>
          <w:rFonts w:ascii="Times New Roman" w:hAnsi="Times New Roman"/>
          <w:sz w:val="24"/>
          <w:szCs w:val="24"/>
        </w:rPr>
        <w:t>önállóan beavatkozó, a Biatorbágy</w:t>
      </w:r>
      <w:r w:rsidR="00565C4D">
        <w:rPr>
          <w:rFonts w:ascii="Times New Roman" w:hAnsi="Times New Roman"/>
          <w:sz w:val="24"/>
          <w:szCs w:val="24"/>
        </w:rPr>
        <w:t xml:space="preserve"> (64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>.)</w:t>
      </w:r>
      <w:r w:rsidRPr="007B3585">
        <w:rPr>
          <w:rFonts w:ascii="Times New Roman" w:hAnsi="Times New Roman"/>
          <w:sz w:val="24"/>
          <w:szCs w:val="24"/>
        </w:rPr>
        <w:t>, a Páty</w:t>
      </w:r>
      <w:r w:rsidR="00565C4D">
        <w:rPr>
          <w:rFonts w:ascii="Times New Roman" w:hAnsi="Times New Roman"/>
          <w:sz w:val="24"/>
          <w:szCs w:val="24"/>
        </w:rPr>
        <w:t xml:space="preserve"> (46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>.)</w:t>
      </w:r>
      <w:r w:rsidRPr="007B3585">
        <w:rPr>
          <w:rFonts w:ascii="Times New Roman" w:hAnsi="Times New Roman"/>
          <w:sz w:val="24"/>
          <w:szCs w:val="24"/>
        </w:rPr>
        <w:t xml:space="preserve">, a </w:t>
      </w:r>
      <w:r w:rsidRPr="00704F0D">
        <w:rPr>
          <w:rFonts w:ascii="Times New Roman" w:hAnsi="Times New Roman"/>
          <w:sz w:val="24"/>
          <w:szCs w:val="24"/>
        </w:rPr>
        <w:t>P</w:t>
      </w:r>
      <w:r w:rsidR="00704F0D" w:rsidRPr="00704F0D">
        <w:rPr>
          <w:rFonts w:ascii="Times New Roman" w:hAnsi="Times New Roman"/>
          <w:sz w:val="24"/>
          <w:szCs w:val="24"/>
        </w:rPr>
        <w:t>est Megyei Speciális Mentő és Önkéntes Tűzoltó Egyesület Százhalombatta ÖTE</w:t>
      </w:r>
      <w:r w:rsidR="00704F0D">
        <w:rPr>
          <w:rFonts w:ascii="Times New Roman" w:hAnsi="Times New Roman"/>
          <w:sz w:val="24"/>
          <w:szCs w:val="24"/>
        </w:rPr>
        <w:t xml:space="preserve"> (a továbbiakban: PMSM) </w:t>
      </w:r>
      <w:r w:rsidR="00565C4D">
        <w:rPr>
          <w:rFonts w:ascii="Times New Roman" w:hAnsi="Times New Roman"/>
          <w:sz w:val="24"/>
          <w:szCs w:val="24"/>
        </w:rPr>
        <w:t xml:space="preserve">(8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>.)</w:t>
      </w:r>
      <w:r w:rsidRPr="007B3585">
        <w:rPr>
          <w:rFonts w:ascii="Times New Roman" w:hAnsi="Times New Roman"/>
          <w:sz w:val="24"/>
          <w:szCs w:val="24"/>
        </w:rPr>
        <w:t>, a Tárnok</w:t>
      </w:r>
      <w:r w:rsidR="00565C4D">
        <w:rPr>
          <w:rFonts w:ascii="Times New Roman" w:hAnsi="Times New Roman"/>
          <w:sz w:val="24"/>
          <w:szCs w:val="24"/>
        </w:rPr>
        <w:t xml:space="preserve"> (14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>.)</w:t>
      </w:r>
      <w:r w:rsidRPr="007B3585">
        <w:rPr>
          <w:rFonts w:ascii="Times New Roman" w:hAnsi="Times New Roman"/>
          <w:sz w:val="24"/>
          <w:szCs w:val="24"/>
        </w:rPr>
        <w:t xml:space="preserve"> és a Vál ÖTE </w:t>
      </w:r>
      <w:r w:rsidR="00565C4D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>.)</w:t>
      </w:r>
      <w:proofErr w:type="gramEnd"/>
      <w:r w:rsidR="005864E3">
        <w:rPr>
          <w:rFonts w:ascii="Times New Roman" w:hAnsi="Times New Roman"/>
          <w:sz w:val="24"/>
          <w:szCs w:val="24"/>
        </w:rPr>
        <w:t xml:space="preserve"> </w:t>
      </w:r>
      <w:r w:rsidR="00C46386">
        <w:rPr>
          <w:rFonts w:ascii="Times New Roman" w:hAnsi="Times New Roman"/>
          <w:sz w:val="24"/>
          <w:szCs w:val="24"/>
        </w:rPr>
        <w:t xml:space="preserve">I. </w:t>
      </w:r>
      <w:r w:rsidRPr="007B3585">
        <w:rPr>
          <w:rFonts w:ascii="Times New Roman" w:hAnsi="Times New Roman"/>
          <w:sz w:val="24"/>
          <w:szCs w:val="24"/>
        </w:rPr>
        <w:t xml:space="preserve">kategóriájú, a Sóskút ÖTE </w:t>
      </w:r>
      <w:r w:rsidR="00565C4D">
        <w:rPr>
          <w:rFonts w:ascii="Times New Roman" w:hAnsi="Times New Roman"/>
          <w:sz w:val="24"/>
          <w:szCs w:val="24"/>
        </w:rPr>
        <w:t xml:space="preserve">(11 </w:t>
      </w:r>
      <w:proofErr w:type="spellStart"/>
      <w:r w:rsidR="00565C4D">
        <w:rPr>
          <w:rFonts w:ascii="Times New Roman" w:hAnsi="Times New Roman"/>
          <w:sz w:val="24"/>
          <w:szCs w:val="24"/>
        </w:rPr>
        <w:t>beav</w:t>
      </w:r>
      <w:proofErr w:type="spellEnd"/>
      <w:r w:rsidR="00565C4D">
        <w:rPr>
          <w:rFonts w:ascii="Times New Roman" w:hAnsi="Times New Roman"/>
          <w:sz w:val="24"/>
          <w:szCs w:val="24"/>
        </w:rPr>
        <w:t xml:space="preserve">.) </w:t>
      </w:r>
      <w:r w:rsidRPr="007B3585">
        <w:rPr>
          <w:rFonts w:ascii="Times New Roman" w:hAnsi="Times New Roman"/>
          <w:sz w:val="24"/>
          <w:szCs w:val="24"/>
        </w:rPr>
        <w:t xml:space="preserve">II. kategóriájú, a </w:t>
      </w:r>
      <w:r w:rsidR="00704F0D">
        <w:rPr>
          <w:rFonts w:ascii="Times New Roman" w:hAnsi="Times New Roman"/>
          <w:sz w:val="24"/>
          <w:szCs w:val="24"/>
        </w:rPr>
        <w:t xml:space="preserve">Tárnoki Speciális Mentő, Polgárőr és Önkéntes Tűzoltó Egyesület (a továbbiakban: TSMP) </w:t>
      </w:r>
      <w:r w:rsidRPr="007B3585">
        <w:rPr>
          <w:rFonts w:ascii="Times New Roman" w:hAnsi="Times New Roman"/>
          <w:sz w:val="24"/>
          <w:szCs w:val="24"/>
        </w:rPr>
        <w:t>III. kategóriájú együttműködést vállalt.</w:t>
      </w:r>
      <w:r w:rsidR="007F6B4B">
        <w:rPr>
          <w:rFonts w:ascii="Times New Roman" w:hAnsi="Times New Roman"/>
          <w:sz w:val="24"/>
          <w:szCs w:val="24"/>
        </w:rPr>
        <w:t xml:space="preserve"> </w:t>
      </w:r>
      <w:r w:rsidR="00916597">
        <w:rPr>
          <w:rFonts w:ascii="Times New Roman" w:hAnsi="Times New Roman"/>
          <w:sz w:val="24"/>
          <w:szCs w:val="24"/>
        </w:rPr>
        <w:t>Az egyesületek</w:t>
      </w:r>
      <w:r w:rsidR="00916597" w:rsidRPr="007925AA">
        <w:rPr>
          <w:rFonts w:ascii="Times New Roman" w:hAnsi="Times New Roman"/>
          <w:sz w:val="24"/>
          <w:szCs w:val="24"/>
        </w:rPr>
        <w:t xml:space="preserve"> vezetőivel a kapcsolattartás folyamatos. </w:t>
      </w:r>
    </w:p>
    <w:p w14:paraId="6898DFA4" w14:textId="04EE4DF7" w:rsidR="00916597" w:rsidRDefault="00916597" w:rsidP="00C4638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7C7">
        <w:rPr>
          <w:rFonts w:ascii="Times New Roman" w:hAnsi="Times New Roman"/>
          <w:sz w:val="24"/>
          <w:szCs w:val="24"/>
        </w:rPr>
        <w:t xml:space="preserve">Az önkéntesek kategóriájukban vállalt kötelezettségüknek megfelelően segítették a hivatásos tűzoltók munkáját, biztosítva településük lakóinak védelmét, nyugalmát. Az egyesületek által bevethető oltóanyag, technikai eszközök, tűzoltói kapacitás, valamint a területeket érintő </w:t>
      </w:r>
      <w:r w:rsidRPr="007925AA">
        <w:rPr>
          <w:rFonts w:ascii="Times New Roman" w:hAnsi="Times New Roman"/>
          <w:sz w:val="24"/>
          <w:szCs w:val="24"/>
        </w:rPr>
        <w:t xml:space="preserve">helyismeretük gyorsabbá </w:t>
      </w:r>
      <w:r>
        <w:rPr>
          <w:rFonts w:ascii="Times New Roman" w:hAnsi="Times New Roman"/>
          <w:sz w:val="24"/>
          <w:szCs w:val="24"/>
        </w:rPr>
        <w:t>és hatékonyabbá tették a beavatkozásokat</w:t>
      </w:r>
      <w:r w:rsidRPr="007925AA">
        <w:rPr>
          <w:rFonts w:ascii="Times New Roman" w:hAnsi="Times New Roman"/>
          <w:sz w:val="24"/>
          <w:szCs w:val="24"/>
        </w:rPr>
        <w:t xml:space="preserve">. </w:t>
      </w:r>
      <w:r w:rsidR="009835ED">
        <w:rPr>
          <w:rFonts w:ascii="Times New Roman" w:hAnsi="Times New Roman"/>
          <w:sz w:val="24"/>
          <w:szCs w:val="24"/>
        </w:rPr>
        <w:t>A</w:t>
      </w:r>
      <w:r w:rsidR="00CA7C9A">
        <w:rPr>
          <w:rFonts w:ascii="Times New Roman" w:hAnsi="Times New Roman"/>
          <w:sz w:val="24"/>
          <w:szCs w:val="24"/>
        </w:rPr>
        <w:t xml:space="preserve"> tárgy</w:t>
      </w:r>
      <w:r w:rsidR="009835ED">
        <w:rPr>
          <w:rFonts w:ascii="Times New Roman" w:hAnsi="Times New Roman"/>
          <w:sz w:val="24"/>
          <w:szCs w:val="24"/>
        </w:rPr>
        <w:t xml:space="preserve">évben több olyan </w:t>
      </w:r>
      <w:r w:rsidR="009835ED">
        <w:rPr>
          <w:rFonts w:ascii="Times New Roman" w:hAnsi="Times New Roman"/>
          <w:sz w:val="24"/>
          <w:szCs w:val="24"/>
        </w:rPr>
        <w:lastRenderedPageBreak/>
        <w:t xml:space="preserve">jelentős káreset is történt a </w:t>
      </w:r>
      <w:r w:rsidR="00CA7C9A">
        <w:rPr>
          <w:rFonts w:ascii="Times New Roman" w:hAnsi="Times New Roman"/>
          <w:sz w:val="24"/>
          <w:szCs w:val="24"/>
        </w:rPr>
        <w:t>vár</w:t>
      </w:r>
      <w:r w:rsidR="009835ED">
        <w:rPr>
          <w:rFonts w:ascii="Times New Roman" w:hAnsi="Times New Roman"/>
          <w:sz w:val="24"/>
          <w:szCs w:val="24"/>
        </w:rPr>
        <w:t>megye területén,</w:t>
      </w:r>
      <w:r w:rsidRPr="007925AA">
        <w:rPr>
          <w:rFonts w:ascii="Times New Roman" w:hAnsi="Times New Roman"/>
          <w:sz w:val="24"/>
          <w:szCs w:val="24"/>
        </w:rPr>
        <w:t xml:space="preserve"> </w:t>
      </w:r>
      <w:r w:rsidR="009835ED">
        <w:rPr>
          <w:rFonts w:ascii="Times New Roman" w:hAnsi="Times New Roman"/>
          <w:sz w:val="24"/>
          <w:szCs w:val="24"/>
        </w:rPr>
        <w:t xml:space="preserve">ahol az </w:t>
      </w:r>
      <w:proofErr w:type="spellStart"/>
      <w:r w:rsidR="009835ED">
        <w:rPr>
          <w:rFonts w:ascii="Times New Roman" w:hAnsi="Times New Roman"/>
          <w:sz w:val="24"/>
          <w:szCs w:val="24"/>
        </w:rPr>
        <w:t>ÖTE-k</w:t>
      </w:r>
      <w:proofErr w:type="spellEnd"/>
      <w:r w:rsidR="009835ED">
        <w:rPr>
          <w:rFonts w:ascii="Times New Roman" w:hAnsi="Times New Roman"/>
          <w:sz w:val="24"/>
          <w:szCs w:val="24"/>
        </w:rPr>
        <w:t xml:space="preserve"> – működési területüktől távol – is hatékony segítséget nyújtottak.</w:t>
      </w:r>
    </w:p>
    <w:p w14:paraId="79EE137E" w14:textId="69E740ED" w:rsidR="00916597" w:rsidRPr="006F57C7" w:rsidRDefault="001B0319" w:rsidP="00C4638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Az egyesülete</w:t>
      </w:r>
      <w:r w:rsidR="00C31B8A">
        <w:rPr>
          <w:rFonts w:ascii="Times New Roman" w:hAnsi="Times New Roman"/>
          <w:sz w:val="24"/>
          <w:szCs w:val="24"/>
        </w:rPr>
        <w:t>k benyújtott pályázatai eredményesek. Fejlődésük folyamatos</w:t>
      </w:r>
      <w:r w:rsidR="00EF79DB">
        <w:rPr>
          <w:rFonts w:ascii="Times New Roman" w:hAnsi="Times New Roman"/>
          <w:sz w:val="24"/>
          <w:szCs w:val="24"/>
        </w:rPr>
        <w:t>,</w:t>
      </w:r>
      <w:r w:rsidR="00C31B8A">
        <w:rPr>
          <w:rFonts w:ascii="Times New Roman" w:hAnsi="Times New Roman"/>
          <w:sz w:val="24"/>
          <w:szCs w:val="24"/>
        </w:rPr>
        <w:t xml:space="preserve"> </w:t>
      </w:r>
      <w:r w:rsidR="00EF79DB">
        <w:rPr>
          <w:rFonts w:ascii="Times New Roman" w:hAnsi="Times New Roman"/>
          <w:sz w:val="24"/>
          <w:szCs w:val="24"/>
        </w:rPr>
        <w:t>f</w:t>
      </w:r>
      <w:r w:rsidR="00C31B8A">
        <w:rPr>
          <w:rFonts w:ascii="Times New Roman" w:hAnsi="Times New Roman"/>
          <w:sz w:val="24"/>
          <w:szCs w:val="24"/>
        </w:rPr>
        <w:t xml:space="preserve">elszereléseik jó kezekben vannak. </w:t>
      </w:r>
      <w:r w:rsidR="00916597" w:rsidRPr="007925AA">
        <w:rPr>
          <w:rFonts w:ascii="Times New Roman" w:hAnsi="Times New Roman"/>
          <w:sz w:val="24"/>
          <w:szCs w:val="24"/>
          <w:lang w:eastAsia="hu-HU"/>
        </w:rPr>
        <w:t>Mind a köz</w:t>
      </w:r>
      <w:r w:rsidR="00916597">
        <w:rPr>
          <w:rFonts w:ascii="Times New Roman" w:hAnsi="Times New Roman"/>
          <w:sz w:val="24"/>
          <w:szCs w:val="24"/>
          <w:lang w:eastAsia="hu-HU"/>
        </w:rPr>
        <w:t>reműködő, mind a beavatkozó egyesülete</w:t>
      </w:r>
      <w:r w:rsidR="00916597" w:rsidRPr="007925AA">
        <w:rPr>
          <w:rFonts w:ascii="Times New Roman" w:hAnsi="Times New Roman"/>
          <w:sz w:val="24"/>
          <w:szCs w:val="24"/>
          <w:lang w:eastAsia="hu-HU"/>
        </w:rPr>
        <w:t xml:space="preserve">k aktivitása </w:t>
      </w:r>
      <w:r w:rsidR="001912CA">
        <w:rPr>
          <w:rFonts w:ascii="Times New Roman" w:hAnsi="Times New Roman"/>
          <w:sz w:val="24"/>
          <w:szCs w:val="24"/>
          <w:lang w:eastAsia="hu-HU"/>
        </w:rPr>
        <w:t>folyamatosan nő</w:t>
      </w:r>
      <w:r w:rsidR="00916597" w:rsidRPr="007925AA">
        <w:rPr>
          <w:rFonts w:ascii="Times New Roman" w:hAnsi="Times New Roman"/>
          <w:sz w:val="24"/>
          <w:szCs w:val="24"/>
          <w:lang w:eastAsia="hu-HU"/>
        </w:rPr>
        <w:t xml:space="preserve">, és a káresemények felszámolásában való részvételük jelentős </w:t>
      </w:r>
      <w:r w:rsidR="00916597" w:rsidRPr="006F57C7">
        <w:rPr>
          <w:rFonts w:ascii="Times New Roman" w:hAnsi="Times New Roman"/>
          <w:sz w:val="24"/>
          <w:szCs w:val="24"/>
          <w:lang w:eastAsia="hu-HU"/>
        </w:rPr>
        <w:t>segítséget jelent a hivatásos tűzoltóság számára.</w:t>
      </w:r>
    </w:p>
    <w:p w14:paraId="3D6ECE4C" w14:textId="7B8CA9DC" w:rsidR="00916597" w:rsidRPr="003905C2" w:rsidRDefault="00916597" w:rsidP="00C46386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önkéntes egységek </w:t>
      </w:r>
      <w:r w:rsidRPr="007925AA">
        <w:rPr>
          <w:rFonts w:ascii="Times New Roman" w:hAnsi="Times New Roman"/>
          <w:sz w:val="24"/>
          <w:szCs w:val="24"/>
          <w:lang w:eastAsia="hu-HU"/>
        </w:rPr>
        <w:t xml:space="preserve">vonulásainál megállapítható, hogy jóval a vállalt riasztási normaidőn belül kezdték meg a vonulást. </w:t>
      </w:r>
      <w:r w:rsidR="006F1DC7">
        <w:rPr>
          <w:rFonts w:ascii="Times New Roman" w:hAnsi="Times New Roman"/>
          <w:sz w:val="24"/>
          <w:szCs w:val="24"/>
          <w:lang w:eastAsia="hu-HU"/>
        </w:rPr>
        <w:t>Gyorsabb kiérkezésükből adódóan</w:t>
      </w:r>
      <w:r w:rsidRPr="007925AA">
        <w:rPr>
          <w:rFonts w:ascii="Times New Roman" w:hAnsi="Times New Roman"/>
          <w:sz w:val="24"/>
          <w:szCs w:val="24"/>
          <w:lang w:eastAsia="hu-HU"/>
        </w:rPr>
        <w:t xml:space="preserve"> az emberélet mentése esetén és a károk minimalizálásánál </w:t>
      </w:r>
      <w:r w:rsidRPr="004D1C53">
        <w:rPr>
          <w:rFonts w:ascii="Times New Roman" w:hAnsi="Times New Roman"/>
          <w:sz w:val="24"/>
          <w:szCs w:val="24"/>
          <w:lang w:eastAsia="hu-HU"/>
        </w:rPr>
        <w:t>is előny mutatkozik.</w:t>
      </w:r>
    </w:p>
    <w:p w14:paraId="5EED0775" w14:textId="0245284B" w:rsidR="00916597" w:rsidRPr="00D5582E" w:rsidRDefault="00916597" w:rsidP="00FE475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2E">
        <w:rPr>
          <w:rFonts w:ascii="Times New Roman" w:hAnsi="Times New Roman"/>
          <w:b/>
          <w:sz w:val="24"/>
          <w:szCs w:val="24"/>
        </w:rPr>
        <w:t xml:space="preserve">Önkormányzati Tűzoltóság </w:t>
      </w:r>
      <w:r w:rsidR="0002747C" w:rsidRPr="00D5582E">
        <w:rPr>
          <w:rFonts w:ascii="Times New Roman" w:hAnsi="Times New Roman"/>
          <w:b/>
          <w:sz w:val="24"/>
          <w:szCs w:val="24"/>
        </w:rPr>
        <w:t>Vál</w:t>
      </w:r>
    </w:p>
    <w:p w14:paraId="28C897E0" w14:textId="22630869" w:rsidR="005864E3" w:rsidRDefault="00916597" w:rsidP="00FE475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2747C">
        <w:rPr>
          <w:rFonts w:ascii="Times New Roman" w:hAnsi="Times New Roman"/>
          <w:sz w:val="24"/>
          <w:szCs w:val="24"/>
        </w:rPr>
        <w:t>Váli</w:t>
      </w:r>
      <w:r>
        <w:rPr>
          <w:rFonts w:ascii="Times New Roman" w:hAnsi="Times New Roman"/>
          <w:sz w:val="24"/>
          <w:szCs w:val="24"/>
        </w:rPr>
        <w:t xml:space="preserve"> </w:t>
      </w:r>
      <w:r w:rsidR="00EB55F3">
        <w:rPr>
          <w:rFonts w:ascii="Times New Roman" w:hAnsi="Times New Roman"/>
          <w:sz w:val="24"/>
          <w:szCs w:val="24"/>
        </w:rPr>
        <w:t>Önkormányzati Tűzoltóság</w:t>
      </w:r>
      <w:r w:rsidRPr="007925AA">
        <w:rPr>
          <w:rFonts w:ascii="Times New Roman" w:hAnsi="Times New Roman"/>
          <w:sz w:val="24"/>
          <w:szCs w:val="24"/>
        </w:rPr>
        <w:t xml:space="preserve"> </w:t>
      </w:r>
      <w:r w:rsidR="001743D6">
        <w:rPr>
          <w:rFonts w:ascii="Times New Roman" w:hAnsi="Times New Roman"/>
          <w:sz w:val="24"/>
          <w:szCs w:val="24"/>
        </w:rPr>
        <w:t xml:space="preserve">(a továbbiakban: ÖTP) </w:t>
      </w:r>
      <w:r w:rsidR="0048278F" w:rsidRPr="007925AA">
        <w:rPr>
          <w:rFonts w:ascii="Times New Roman" w:hAnsi="Times New Roman"/>
          <w:sz w:val="24"/>
          <w:szCs w:val="24"/>
        </w:rPr>
        <w:t>együttműködési</w:t>
      </w:r>
      <w:r w:rsidRPr="007925AA">
        <w:rPr>
          <w:rFonts w:ascii="Times New Roman" w:hAnsi="Times New Roman"/>
          <w:sz w:val="24"/>
          <w:szCs w:val="24"/>
        </w:rPr>
        <w:t xml:space="preserve"> megállapodás alapján, elsődleges műveleti körzetében</w:t>
      </w:r>
      <w:r w:rsidR="00EB55F3">
        <w:rPr>
          <w:rFonts w:ascii="Times New Roman" w:hAnsi="Times New Roman"/>
          <w:sz w:val="24"/>
          <w:szCs w:val="24"/>
        </w:rPr>
        <w:t>,</w:t>
      </w:r>
      <w:r w:rsidRPr="007925AA">
        <w:rPr>
          <w:rFonts w:ascii="Times New Roman" w:hAnsi="Times New Roman"/>
          <w:sz w:val="24"/>
          <w:szCs w:val="24"/>
        </w:rPr>
        <w:t xml:space="preserve"> </w:t>
      </w:r>
      <w:r w:rsidR="00EB55F3">
        <w:rPr>
          <w:rFonts w:ascii="Times New Roman" w:hAnsi="Times New Roman"/>
          <w:sz w:val="24"/>
          <w:szCs w:val="24"/>
        </w:rPr>
        <w:t>F</w:t>
      </w:r>
      <w:r w:rsidR="00EB55F3" w:rsidRPr="00EB55F3">
        <w:rPr>
          <w:rFonts w:ascii="Times New Roman" w:hAnsi="Times New Roman"/>
          <w:sz w:val="24"/>
          <w:szCs w:val="24"/>
        </w:rPr>
        <w:t xml:space="preserve">ejér </w:t>
      </w:r>
      <w:r w:rsidR="00CA7C9A">
        <w:rPr>
          <w:rFonts w:ascii="Times New Roman" w:hAnsi="Times New Roman"/>
          <w:sz w:val="24"/>
          <w:szCs w:val="24"/>
        </w:rPr>
        <w:t>vár</w:t>
      </w:r>
      <w:r w:rsidR="00EB55F3" w:rsidRPr="00EB55F3">
        <w:rPr>
          <w:rFonts w:ascii="Times New Roman" w:hAnsi="Times New Roman"/>
          <w:sz w:val="24"/>
          <w:szCs w:val="24"/>
        </w:rPr>
        <w:t>megye északi ré</w:t>
      </w:r>
      <w:r w:rsidR="00EB55F3">
        <w:rPr>
          <w:rFonts w:ascii="Times New Roman" w:hAnsi="Times New Roman"/>
          <w:sz w:val="24"/>
          <w:szCs w:val="24"/>
        </w:rPr>
        <w:t>szén, 17</w:t>
      </w:r>
      <w:r w:rsidR="00D5582E">
        <w:rPr>
          <w:rFonts w:ascii="Times New Roman" w:hAnsi="Times New Roman"/>
          <w:sz w:val="24"/>
          <w:szCs w:val="24"/>
        </w:rPr>
        <w:t>.</w:t>
      </w:r>
      <w:proofErr w:type="gramStart"/>
      <w:r w:rsidR="00EB55F3">
        <w:rPr>
          <w:rFonts w:ascii="Times New Roman" w:hAnsi="Times New Roman"/>
          <w:sz w:val="24"/>
          <w:szCs w:val="24"/>
        </w:rPr>
        <w:t>184</w:t>
      </w:r>
      <w:proofErr w:type="gramEnd"/>
      <w:r w:rsidR="00EB55F3">
        <w:rPr>
          <w:rFonts w:ascii="Times New Roman" w:hAnsi="Times New Roman"/>
          <w:sz w:val="24"/>
          <w:szCs w:val="24"/>
        </w:rPr>
        <w:t xml:space="preserve"> ha területen látja</w:t>
      </w:r>
      <w:r w:rsidR="00EB55F3" w:rsidRPr="00EB55F3">
        <w:rPr>
          <w:rFonts w:ascii="Times New Roman" w:hAnsi="Times New Roman"/>
          <w:sz w:val="24"/>
          <w:szCs w:val="24"/>
        </w:rPr>
        <w:t xml:space="preserve"> el a tűzoltási és műszaki mentési tevékenységet, </w:t>
      </w:r>
      <w:r w:rsidR="00EF79DB">
        <w:rPr>
          <w:rFonts w:ascii="Times New Roman" w:hAnsi="Times New Roman"/>
          <w:sz w:val="24"/>
          <w:szCs w:val="24"/>
        </w:rPr>
        <w:t>a</w:t>
      </w:r>
      <w:r w:rsidR="005864E3">
        <w:rPr>
          <w:rFonts w:ascii="Times New Roman" w:hAnsi="Times New Roman"/>
          <w:sz w:val="24"/>
          <w:szCs w:val="24"/>
        </w:rPr>
        <w:t xml:space="preserve">melyhez </w:t>
      </w:r>
      <w:r w:rsidR="00EB55F3" w:rsidRPr="00EB55F3">
        <w:rPr>
          <w:rFonts w:ascii="Times New Roman" w:hAnsi="Times New Roman"/>
          <w:sz w:val="24"/>
          <w:szCs w:val="24"/>
        </w:rPr>
        <w:t xml:space="preserve">tartozik Vál, Tabajd, Kajászó, Baracska, Tordas, Gyúró, községek közigazgatási területe, </w:t>
      </w:r>
      <w:r w:rsidR="009A49ED">
        <w:rPr>
          <w:rFonts w:ascii="Times New Roman" w:hAnsi="Times New Roman"/>
          <w:sz w:val="24"/>
          <w:szCs w:val="24"/>
        </w:rPr>
        <w:t>az M</w:t>
      </w:r>
      <w:r w:rsidR="00EB55F3" w:rsidRPr="00EB55F3">
        <w:rPr>
          <w:rFonts w:ascii="Times New Roman" w:hAnsi="Times New Roman"/>
          <w:sz w:val="24"/>
          <w:szCs w:val="24"/>
        </w:rPr>
        <w:t>7 autópálya 30-41 km szelvénye, és a 7-es főút 34-38 km szelvényig terjedő szakasza</w:t>
      </w:r>
      <w:r w:rsidR="00EB55F3">
        <w:rPr>
          <w:rFonts w:ascii="Times New Roman" w:hAnsi="Times New Roman"/>
          <w:sz w:val="24"/>
          <w:szCs w:val="24"/>
        </w:rPr>
        <w:t xml:space="preserve">. </w:t>
      </w:r>
      <w:r w:rsidRPr="00EB55F3">
        <w:rPr>
          <w:rFonts w:ascii="Times New Roman" w:hAnsi="Times New Roman"/>
          <w:sz w:val="24"/>
          <w:szCs w:val="24"/>
        </w:rPr>
        <w:t xml:space="preserve">Az itt élő lakosok száma megközelítőleg </w:t>
      </w:r>
      <w:r w:rsidR="00EB55F3" w:rsidRPr="00EB55F3">
        <w:rPr>
          <w:rFonts w:ascii="Times New Roman" w:hAnsi="Times New Roman"/>
          <w:sz w:val="24"/>
          <w:szCs w:val="24"/>
        </w:rPr>
        <w:t>11</w:t>
      </w:r>
      <w:r w:rsidR="00EF79DB">
        <w:rPr>
          <w:rFonts w:ascii="Times New Roman" w:hAnsi="Times New Roman"/>
          <w:sz w:val="24"/>
          <w:szCs w:val="24"/>
        </w:rPr>
        <w:t>.</w:t>
      </w:r>
      <w:r w:rsidR="00EB55F3" w:rsidRPr="00EB55F3">
        <w:rPr>
          <w:rFonts w:ascii="Times New Roman" w:hAnsi="Times New Roman"/>
          <w:sz w:val="24"/>
          <w:szCs w:val="24"/>
        </w:rPr>
        <w:t xml:space="preserve">299 ezer fő. </w:t>
      </w:r>
    </w:p>
    <w:p w14:paraId="045F9971" w14:textId="6223EC04" w:rsidR="00916597" w:rsidRPr="006F57C7" w:rsidRDefault="001743D6" w:rsidP="001743D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ÖTP-vel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16597" w:rsidRPr="007925AA">
        <w:rPr>
          <w:rFonts w:ascii="Times New Roman" w:hAnsi="Times New Roman"/>
          <w:sz w:val="24"/>
          <w:szCs w:val="24"/>
        </w:rPr>
        <w:t>a kap</w:t>
      </w:r>
      <w:r w:rsidR="00916597">
        <w:rPr>
          <w:rFonts w:ascii="Times New Roman" w:hAnsi="Times New Roman"/>
          <w:sz w:val="24"/>
          <w:szCs w:val="24"/>
        </w:rPr>
        <w:t xml:space="preserve">csolattartás folyamatos volt, </w:t>
      </w:r>
      <w:r>
        <w:rPr>
          <w:rFonts w:ascii="Times New Roman" w:hAnsi="Times New Roman"/>
          <w:sz w:val="24"/>
          <w:szCs w:val="24"/>
        </w:rPr>
        <w:t xml:space="preserve">munkájukat támogattuk. </w:t>
      </w:r>
      <w:r w:rsidR="00916597" w:rsidRPr="00DE56FC">
        <w:rPr>
          <w:rFonts w:ascii="Times New Roman" w:hAnsi="Times New Roman"/>
          <w:sz w:val="24"/>
          <w:szCs w:val="24"/>
        </w:rPr>
        <w:t xml:space="preserve">A tűzoltóságot </w:t>
      </w:r>
      <w:r>
        <w:rPr>
          <w:rFonts w:ascii="Times New Roman" w:hAnsi="Times New Roman"/>
          <w:sz w:val="24"/>
          <w:szCs w:val="24"/>
        </w:rPr>
        <w:t xml:space="preserve">2023. </w:t>
      </w:r>
      <w:r w:rsidR="00F85D60">
        <w:rPr>
          <w:rFonts w:ascii="Times New Roman" w:hAnsi="Times New Roman"/>
          <w:sz w:val="24"/>
          <w:szCs w:val="24"/>
        </w:rPr>
        <w:t xml:space="preserve">évben összesen </w:t>
      </w:r>
      <w:r w:rsidR="00565C4D">
        <w:rPr>
          <w:rFonts w:ascii="Times New Roman" w:hAnsi="Times New Roman"/>
          <w:b/>
          <w:sz w:val="24"/>
          <w:szCs w:val="24"/>
        </w:rPr>
        <w:t>86</w:t>
      </w:r>
      <w:r w:rsidR="00916597" w:rsidRPr="00DE56FC">
        <w:rPr>
          <w:rFonts w:ascii="Times New Roman" w:hAnsi="Times New Roman"/>
          <w:sz w:val="24"/>
          <w:szCs w:val="24"/>
        </w:rPr>
        <w:t xml:space="preserve"> káresethez riasztották</w:t>
      </w:r>
      <w:r w:rsidR="00C31B8A">
        <w:rPr>
          <w:rFonts w:ascii="Times New Roman" w:hAnsi="Times New Roman"/>
          <w:sz w:val="24"/>
          <w:szCs w:val="24"/>
        </w:rPr>
        <w:t xml:space="preserve">, ebből </w:t>
      </w:r>
      <w:r w:rsidR="00565C4D">
        <w:rPr>
          <w:rFonts w:ascii="Times New Roman" w:hAnsi="Times New Roman"/>
          <w:b/>
          <w:sz w:val="24"/>
          <w:szCs w:val="24"/>
        </w:rPr>
        <w:t>52</w:t>
      </w:r>
      <w:r w:rsidR="00C31B8A">
        <w:rPr>
          <w:rFonts w:ascii="Times New Roman" w:hAnsi="Times New Roman"/>
          <w:sz w:val="24"/>
          <w:szCs w:val="24"/>
        </w:rPr>
        <w:t xml:space="preserve"> esetben kellett beavatkozni</w:t>
      </w:r>
      <w:r w:rsidR="00916597" w:rsidRPr="00DE56FC">
        <w:rPr>
          <w:rFonts w:ascii="Times New Roman" w:hAnsi="Times New Roman"/>
          <w:sz w:val="24"/>
          <w:szCs w:val="24"/>
        </w:rPr>
        <w:t xml:space="preserve">. A káresetek </w:t>
      </w:r>
      <w:r w:rsidR="00565C4D">
        <w:rPr>
          <w:rFonts w:ascii="Times New Roman" w:hAnsi="Times New Roman"/>
          <w:sz w:val="24"/>
          <w:szCs w:val="24"/>
        </w:rPr>
        <w:t>28</w:t>
      </w:r>
      <w:r w:rsidR="00C31B8A">
        <w:rPr>
          <w:rFonts w:ascii="Times New Roman" w:hAnsi="Times New Roman"/>
          <w:sz w:val="24"/>
          <w:szCs w:val="24"/>
        </w:rPr>
        <w:t xml:space="preserve"> alkalommal Vál</w:t>
      </w:r>
      <w:r w:rsidR="00F027E5">
        <w:rPr>
          <w:rFonts w:ascii="Times New Roman" w:hAnsi="Times New Roman"/>
          <w:sz w:val="24"/>
          <w:szCs w:val="24"/>
        </w:rPr>
        <w:t xml:space="preserve">, </w:t>
      </w:r>
      <w:r w:rsidR="00565C4D">
        <w:rPr>
          <w:rFonts w:ascii="Times New Roman" w:hAnsi="Times New Roman"/>
          <w:sz w:val="24"/>
          <w:szCs w:val="24"/>
        </w:rPr>
        <w:t>6</w:t>
      </w:r>
      <w:r w:rsidR="00F027E5">
        <w:rPr>
          <w:rFonts w:ascii="Times New Roman" w:hAnsi="Times New Roman"/>
          <w:sz w:val="24"/>
          <w:szCs w:val="24"/>
        </w:rPr>
        <w:t xml:space="preserve"> alkalommal Baracska, </w:t>
      </w:r>
      <w:r w:rsidR="00565C4D">
        <w:rPr>
          <w:rFonts w:ascii="Times New Roman" w:hAnsi="Times New Roman"/>
          <w:sz w:val="24"/>
          <w:szCs w:val="24"/>
        </w:rPr>
        <w:t>13</w:t>
      </w:r>
      <w:r w:rsidR="00F027E5">
        <w:rPr>
          <w:rFonts w:ascii="Times New Roman" w:hAnsi="Times New Roman"/>
          <w:sz w:val="24"/>
          <w:szCs w:val="24"/>
        </w:rPr>
        <w:t xml:space="preserve"> alkalommal Kajászó</w:t>
      </w:r>
      <w:r w:rsidR="00C31B8A">
        <w:rPr>
          <w:rFonts w:ascii="Times New Roman" w:hAnsi="Times New Roman"/>
          <w:sz w:val="24"/>
          <w:szCs w:val="24"/>
        </w:rPr>
        <w:t xml:space="preserve"> települést érintették</w:t>
      </w:r>
      <w:r w:rsidR="00F85D60">
        <w:rPr>
          <w:rFonts w:ascii="Times New Roman" w:hAnsi="Times New Roman"/>
          <w:sz w:val="24"/>
          <w:szCs w:val="24"/>
        </w:rPr>
        <w:t>.</w:t>
      </w:r>
      <w:r w:rsidR="00C31B8A">
        <w:rPr>
          <w:rFonts w:ascii="Times New Roman" w:hAnsi="Times New Roman"/>
          <w:sz w:val="24"/>
          <w:szCs w:val="24"/>
        </w:rPr>
        <w:t xml:space="preserve"> </w:t>
      </w:r>
      <w:r w:rsidR="00B10101">
        <w:rPr>
          <w:rFonts w:ascii="Times New Roman" w:hAnsi="Times New Roman"/>
          <w:sz w:val="24"/>
          <w:szCs w:val="24"/>
        </w:rPr>
        <w:t>16</w:t>
      </w:r>
      <w:r w:rsidR="00C31B8A">
        <w:rPr>
          <w:rFonts w:ascii="Times New Roman" w:hAnsi="Times New Roman"/>
          <w:sz w:val="24"/>
          <w:szCs w:val="24"/>
        </w:rPr>
        <w:t xml:space="preserve"> esetben közúti balesetnél avatkoztak be. </w:t>
      </w:r>
      <w:r>
        <w:rPr>
          <w:rFonts w:ascii="Times New Roman" w:hAnsi="Times New Roman"/>
          <w:sz w:val="24"/>
          <w:szCs w:val="24"/>
        </w:rPr>
        <w:t>Az</w:t>
      </w:r>
      <w:r w:rsidR="00C31B8A">
        <w:rPr>
          <w:rFonts w:ascii="Times New Roman" w:hAnsi="Times New Roman"/>
          <w:sz w:val="24"/>
          <w:szCs w:val="24"/>
        </w:rPr>
        <w:t xml:space="preserve"> események </w:t>
      </w:r>
      <w:r>
        <w:rPr>
          <w:rFonts w:ascii="Times New Roman" w:hAnsi="Times New Roman"/>
          <w:sz w:val="24"/>
          <w:szCs w:val="24"/>
        </w:rPr>
        <w:t>jellemzően</w:t>
      </w:r>
      <w:r w:rsidR="00C31B8A">
        <w:rPr>
          <w:rFonts w:ascii="Times New Roman" w:hAnsi="Times New Roman"/>
          <w:sz w:val="24"/>
          <w:szCs w:val="24"/>
        </w:rPr>
        <w:t xml:space="preserve"> az M7 autópályán történtek.</w:t>
      </w:r>
    </w:p>
    <w:p w14:paraId="683A5F33" w14:textId="27B3B493" w:rsidR="001B0319" w:rsidRDefault="009776D6" w:rsidP="005E0D0C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="003D62BB">
        <w:rPr>
          <w:rFonts w:ascii="Times New Roman" w:hAnsi="Times New Roman"/>
          <w:sz w:val="24"/>
          <w:szCs w:val="24"/>
          <w:lang w:eastAsia="hu-HU"/>
        </w:rPr>
        <w:t>Érd</w:t>
      </w:r>
      <w:r w:rsidR="00916597" w:rsidRPr="006F57C7">
        <w:rPr>
          <w:rFonts w:ascii="Times New Roman" w:hAnsi="Times New Roman"/>
          <w:sz w:val="24"/>
          <w:szCs w:val="24"/>
          <w:lang w:eastAsia="hu-HU"/>
        </w:rPr>
        <w:t xml:space="preserve"> HTP </w:t>
      </w:r>
      <w:r w:rsidR="00916597" w:rsidRPr="007925AA">
        <w:rPr>
          <w:rFonts w:ascii="Times New Roman" w:hAnsi="Times New Roman"/>
          <w:sz w:val="24"/>
          <w:szCs w:val="24"/>
          <w:lang w:eastAsia="hu-HU"/>
        </w:rPr>
        <w:t>működési terü</w:t>
      </w:r>
      <w:r w:rsidR="00916597">
        <w:rPr>
          <w:rFonts w:ascii="Times New Roman" w:hAnsi="Times New Roman"/>
          <w:sz w:val="24"/>
          <w:szCs w:val="24"/>
          <w:lang w:eastAsia="hu-HU"/>
        </w:rPr>
        <w:t xml:space="preserve">letén működő </w:t>
      </w:r>
      <w:r>
        <w:rPr>
          <w:rFonts w:ascii="Times New Roman" w:hAnsi="Times New Roman"/>
          <w:sz w:val="24"/>
          <w:szCs w:val="24"/>
          <w:lang w:eastAsia="hu-HU"/>
        </w:rPr>
        <w:t>Vál</w:t>
      </w:r>
      <w:r w:rsidR="00916597">
        <w:rPr>
          <w:rFonts w:ascii="Times New Roman" w:hAnsi="Times New Roman"/>
          <w:sz w:val="24"/>
          <w:szCs w:val="24"/>
          <w:lang w:eastAsia="hu-HU"/>
        </w:rPr>
        <w:t xml:space="preserve"> ÖTP</w:t>
      </w:r>
      <w:r w:rsidR="00916597" w:rsidRPr="007925AA">
        <w:rPr>
          <w:rFonts w:ascii="Times New Roman" w:hAnsi="Times New Roman"/>
          <w:sz w:val="24"/>
          <w:szCs w:val="24"/>
          <w:lang w:eastAsia="hu-HU"/>
        </w:rPr>
        <w:t xml:space="preserve"> a lakosság mentő tűzvédelmi biztonsága érdekében elsődleges beavatkozóként alkalmas arra, hogy rövid időn belül megkezdje a műszaki mentést vagy a tűzoltást. A </w:t>
      </w:r>
      <w:r w:rsidR="00916597">
        <w:rPr>
          <w:rFonts w:ascii="Times New Roman" w:hAnsi="Times New Roman"/>
          <w:sz w:val="24"/>
          <w:szCs w:val="24"/>
          <w:lang w:eastAsia="hu-HU"/>
        </w:rPr>
        <w:t xml:space="preserve">káresetek felszámolását az ÖTP önállóan végzi, a nagyobb, több erőt és eszközt igénylő káresetekhez nyújt a hivatásos tűzoltóság segítséget. </w:t>
      </w:r>
      <w:bookmarkStart w:id="8" w:name="_Toc40190330"/>
    </w:p>
    <w:p w14:paraId="34232519" w14:textId="77777777" w:rsidR="00D0774E" w:rsidRPr="005E0D0C" w:rsidRDefault="00D0774E" w:rsidP="005E0D0C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172F26" w14:textId="77777777" w:rsidR="00916597" w:rsidRPr="007925AA" w:rsidRDefault="00916597" w:rsidP="00916597">
      <w:pPr>
        <w:pStyle w:val="Cmsor1"/>
        <w:spacing w:before="240" w:after="100" w:afterAutospacing="1" w:line="240" w:lineRule="atLeast"/>
        <w:rPr>
          <w:b/>
        </w:rPr>
      </w:pPr>
      <w:r w:rsidRPr="005A1554">
        <w:rPr>
          <w:b/>
        </w:rPr>
        <w:t>VI. Polgári védelmi feladatok</w:t>
      </w:r>
      <w:bookmarkEnd w:id="8"/>
    </w:p>
    <w:p w14:paraId="4869E313" w14:textId="77777777" w:rsidR="00913855" w:rsidRPr="00D5582E" w:rsidRDefault="00913855" w:rsidP="00913855">
      <w:pPr>
        <w:widowControl w:val="0"/>
        <w:spacing w:before="120"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582E">
        <w:rPr>
          <w:rFonts w:ascii="Times New Roman" w:hAnsi="Times New Roman"/>
          <w:b/>
          <w:color w:val="000000"/>
          <w:sz w:val="24"/>
          <w:szCs w:val="24"/>
        </w:rPr>
        <w:t>Lakosságtájékoztatás, kapcsolattartás</w:t>
      </w:r>
    </w:p>
    <w:p w14:paraId="2139233A" w14:textId="47D9E246" w:rsidR="00913855" w:rsidRPr="007925AA" w:rsidRDefault="00913855" w:rsidP="00913855">
      <w:pPr>
        <w:widowControl w:val="0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2023</w:t>
      </w:r>
      <w:r w:rsidRPr="007925AA">
        <w:rPr>
          <w:rFonts w:ascii="Times New Roman" w:hAnsi="Times New Roman"/>
          <w:sz w:val="24"/>
          <w:szCs w:val="24"/>
        </w:rPr>
        <w:t xml:space="preserve">. évben is kiemelt feladatként kezeltük a működési területünkön élő lakosság tájékoztatását, a Pest </w:t>
      </w:r>
      <w:r>
        <w:rPr>
          <w:rFonts w:ascii="Times New Roman" w:hAnsi="Times New Roman"/>
          <w:sz w:val="24"/>
          <w:szCs w:val="24"/>
        </w:rPr>
        <w:t>V</w:t>
      </w:r>
      <w:r w:rsidRPr="007925AA">
        <w:rPr>
          <w:rFonts w:ascii="Times New Roman" w:hAnsi="Times New Roman"/>
          <w:sz w:val="24"/>
          <w:szCs w:val="24"/>
        </w:rPr>
        <w:t xml:space="preserve">MKI szóvivőjének irányítása </w:t>
      </w:r>
      <w:r>
        <w:rPr>
          <w:rFonts w:ascii="Times New Roman" w:hAnsi="Times New Roman"/>
          <w:sz w:val="24"/>
          <w:szCs w:val="24"/>
        </w:rPr>
        <w:t>mellett</w:t>
      </w:r>
      <w:r w:rsidRPr="007925AA">
        <w:rPr>
          <w:rFonts w:ascii="Times New Roman" w:hAnsi="Times New Roman"/>
          <w:sz w:val="24"/>
          <w:szCs w:val="24"/>
        </w:rPr>
        <w:t>. A helyi médiában – TV műsorokban, rádiókban – rendszeresen jelentek meg a</w:t>
      </w:r>
      <w:r>
        <w:rPr>
          <w:rFonts w:ascii="Times New Roman" w:hAnsi="Times New Roman"/>
          <w:sz w:val="24"/>
          <w:szCs w:val="24"/>
        </w:rPr>
        <w:t xml:space="preserve">z Érd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r w:rsidRPr="007925AA">
        <w:rPr>
          <w:rFonts w:ascii="Times New Roman" w:hAnsi="Times New Roman"/>
          <w:sz w:val="24"/>
          <w:szCs w:val="24"/>
        </w:rPr>
        <w:t>K</w:t>
      </w:r>
      <w:proofErr w:type="spellEnd"/>
      <w:r w:rsidRPr="007925AA">
        <w:rPr>
          <w:rFonts w:ascii="Times New Roman" w:hAnsi="Times New Roman"/>
          <w:sz w:val="24"/>
          <w:szCs w:val="24"/>
        </w:rPr>
        <w:t xml:space="preserve"> működé</w:t>
      </w:r>
      <w:r>
        <w:rPr>
          <w:rFonts w:ascii="Times New Roman" w:hAnsi="Times New Roman"/>
          <w:sz w:val="24"/>
          <w:szCs w:val="24"/>
        </w:rPr>
        <w:t>si területére jellemző megelőző</w:t>
      </w:r>
      <w:r w:rsidRPr="007925AA">
        <w:rPr>
          <w:rFonts w:ascii="Times New Roman" w:hAnsi="Times New Roman"/>
          <w:sz w:val="24"/>
          <w:szCs w:val="24"/>
        </w:rPr>
        <w:t xml:space="preserve"> felhívás</w:t>
      </w:r>
      <w:r>
        <w:rPr>
          <w:rFonts w:ascii="Times New Roman" w:hAnsi="Times New Roman"/>
          <w:sz w:val="24"/>
          <w:szCs w:val="24"/>
        </w:rPr>
        <w:t>aink</w:t>
      </w:r>
      <w:r w:rsidRPr="007925AA">
        <w:rPr>
          <w:rFonts w:ascii="Times New Roman" w:hAnsi="Times New Roman"/>
          <w:sz w:val="24"/>
          <w:szCs w:val="24"/>
        </w:rPr>
        <w:t xml:space="preserve">. A lakosságot érintő </w:t>
      </w:r>
      <w:r w:rsidR="00B21B11">
        <w:rPr>
          <w:rFonts w:ascii="Times New Roman" w:hAnsi="Times New Roman"/>
          <w:sz w:val="24"/>
          <w:szCs w:val="24"/>
        </w:rPr>
        <w:t>kockázatokról</w:t>
      </w:r>
      <w:r w:rsidRPr="007925AA">
        <w:rPr>
          <w:rFonts w:ascii="Times New Roman" w:hAnsi="Times New Roman"/>
          <w:sz w:val="24"/>
          <w:szCs w:val="24"/>
        </w:rPr>
        <w:t xml:space="preserve"> a szükséges szakmai anyagokat, tájékoztatókat számukra biztosítottuk, ily módon a lakosság tájékozódhatott a szabadtéri égetés szabályairól, a fűtési szezon </w:t>
      </w:r>
      <w:bookmarkStart w:id="9" w:name="_GoBack"/>
      <w:r w:rsidRPr="007925AA">
        <w:rPr>
          <w:rFonts w:ascii="Times New Roman" w:hAnsi="Times New Roman"/>
          <w:sz w:val="24"/>
          <w:szCs w:val="24"/>
        </w:rPr>
        <w:t>vesz</w:t>
      </w:r>
      <w:bookmarkEnd w:id="9"/>
      <w:r w:rsidRPr="007925AA">
        <w:rPr>
          <w:rFonts w:ascii="Times New Roman" w:hAnsi="Times New Roman"/>
          <w:sz w:val="24"/>
          <w:szCs w:val="24"/>
        </w:rPr>
        <w:t>élyeiről, a kéményseprő-ipari tevékenységről és a tűzvédelmi magatartási szabályok betartásáról.</w:t>
      </w:r>
    </w:p>
    <w:p w14:paraId="28091AF3" w14:textId="77777777" w:rsidR="00913855" w:rsidRPr="00D5582E" w:rsidRDefault="00913855" w:rsidP="00913855">
      <w:pPr>
        <w:widowControl w:val="0"/>
        <w:spacing w:before="120"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582E">
        <w:rPr>
          <w:rFonts w:ascii="Times New Roman" w:hAnsi="Times New Roman"/>
          <w:b/>
          <w:color w:val="000000"/>
          <w:sz w:val="24"/>
          <w:szCs w:val="24"/>
        </w:rPr>
        <w:t>Helyi Védelmi Bizottságokkal kapcsolatos feladatok</w:t>
      </w:r>
    </w:p>
    <w:p w14:paraId="005B9C92" w14:textId="77777777" w:rsidR="00913855" w:rsidRPr="007925AA" w:rsidRDefault="00913855" w:rsidP="009138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HTP működési területén 3 </w:t>
      </w:r>
      <w:r>
        <w:rPr>
          <w:rFonts w:ascii="Times New Roman" w:hAnsi="Times New Roman"/>
          <w:sz w:val="24"/>
          <w:szCs w:val="24"/>
        </w:rPr>
        <w:t>h</w:t>
      </w:r>
      <w:r w:rsidRPr="00524A0D">
        <w:rPr>
          <w:rFonts w:ascii="Times New Roman" w:hAnsi="Times New Roman"/>
          <w:sz w:val="24"/>
          <w:szCs w:val="24"/>
        </w:rPr>
        <w:t xml:space="preserve">elyi </w:t>
      </w:r>
      <w:r>
        <w:rPr>
          <w:rFonts w:ascii="Times New Roman" w:hAnsi="Times New Roman"/>
          <w:sz w:val="24"/>
          <w:szCs w:val="24"/>
        </w:rPr>
        <w:t>v</w:t>
      </w:r>
      <w:r w:rsidRPr="00524A0D">
        <w:rPr>
          <w:rFonts w:ascii="Times New Roman" w:hAnsi="Times New Roman"/>
          <w:sz w:val="24"/>
          <w:szCs w:val="24"/>
        </w:rPr>
        <w:t xml:space="preserve">édelmi </w:t>
      </w:r>
      <w:r>
        <w:rPr>
          <w:rFonts w:ascii="Times New Roman" w:hAnsi="Times New Roman"/>
          <w:sz w:val="24"/>
          <w:szCs w:val="24"/>
        </w:rPr>
        <w:t>b</w:t>
      </w:r>
      <w:r w:rsidRPr="00524A0D">
        <w:rPr>
          <w:rFonts w:ascii="Times New Roman" w:hAnsi="Times New Roman"/>
          <w:sz w:val="24"/>
          <w:szCs w:val="24"/>
        </w:rPr>
        <w:t>izottság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24A0D">
        <w:rPr>
          <w:rFonts w:ascii="Times New Roman" w:hAnsi="Times New Roman"/>
          <w:sz w:val="24"/>
          <w:szCs w:val="24"/>
        </w:rPr>
        <w:t>továbbiakban: HVB)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működik.</w:t>
      </w:r>
      <w:r>
        <w:rPr>
          <w:rFonts w:ascii="Times New Roman" w:hAnsi="Times New Roman"/>
          <w:sz w:val="24"/>
          <w:szCs w:val="24"/>
        </w:rPr>
        <w:t xml:space="preserve"> A HVB elnököket </w:t>
      </w:r>
      <w:r w:rsidRPr="00524A0D">
        <w:rPr>
          <w:rFonts w:ascii="Times New Roman" w:hAnsi="Times New Roman"/>
          <w:sz w:val="24"/>
          <w:szCs w:val="24"/>
        </w:rPr>
        <w:t xml:space="preserve">a kijelölt hivatásos tiszt, mint katasztrófavédelmi elnökhelyettes segíti. </w:t>
      </w:r>
      <w:r w:rsidRPr="00A51DEB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működés folyamatosan biztosított volt. </w:t>
      </w:r>
    </w:p>
    <w:p w14:paraId="525956F5" w14:textId="36FDE2B1" w:rsidR="00913855" w:rsidRPr="00913855" w:rsidRDefault="00913855" w:rsidP="00913855">
      <w:p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</w:t>
      </w:r>
      <w:r w:rsidRPr="007925AA">
        <w:rPr>
          <w:rFonts w:ascii="Times New Roman" w:hAnsi="Times New Roman"/>
          <w:sz w:val="24"/>
          <w:szCs w:val="24"/>
          <w:lang w:eastAsia="hu-HU"/>
        </w:rPr>
        <w:t xml:space="preserve">ájékoztattuk a településeket (kiemelten a zsáktelepülések polgármestereit) a rendkívüli téli időjárásra való felkészülésről, részükre a helyi sajátosságok, lehetőségek figyelembevételével javaslatokat tettünk a téli időjárás során végrehajtandó </w:t>
      </w:r>
      <w:r w:rsidRPr="00913855">
        <w:rPr>
          <w:rFonts w:ascii="Times New Roman" w:hAnsi="Times New Roman"/>
          <w:color w:val="000000" w:themeColor="text1"/>
          <w:sz w:val="24"/>
          <w:szCs w:val="24"/>
          <w:lang w:eastAsia="hu-HU"/>
        </w:rPr>
        <w:t>feladataikról. Továbbá felhívtuk a figyelmüket, hogy a lakossági tájékoztató anyagokat – pl. hasznos tanácsok hőségriadó elrendelése esetén – a helyileg szokásos módon juttassák el a lakosság részére.</w:t>
      </w:r>
    </w:p>
    <w:p w14:paraId="5F6AD944" w14:textId="1766E7B4" w:rsidR="00916597" w:rsidRPr="007925AA" w:rsidRDefault="00D5582E" w:rsidP="00916597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3141FC">
        <w:rPr>
          <w:rFonts w:ascii="Times New Roman" w:hAnsi="Times New Roman"/>
          <w:b/>
          <w:sz w:val="24"/>
          <w:szCs w:val="24"/>
        </w:rPr>
        <w:t>I</w:t>
      </w:r>
      <w:r w:rsidR="00916597" w:rsidRPr="007925AA">
        <w:rPr>
          <w:rFonts w:ascii="Times New Roman" w:hAnsi="Times New Roman"/>
          <w:b/>
          <w:sz w:val="24"/>
          <w:szCs w:val="24"/>
        </w:rPr>
        <w:t>I. Ügyeleti tevékenység</w:t>
      </w:r>
    </w:p>
    <w:p w14:paraId="13A06D9F" w14:textId="5A49DB86" w:rsidR="00D5582E" w:rsidRDefault="00D5582E" w:rsidP="00D5582E">
      <w:pPr>
        <w:pStyle w:val="NormlWeb"/>
        <w:spacing w:before="0" w:beforeAutospacing="0" w:after="120" w:afterAutospacing="0"/>
        <w:jc w:val="both"/>
      </w:pPr>
      <w:r>
        <w:t xml:space="preserve">A </w:t>
      </w:r>
      <w:proofErr w:type="spellStart"/>
      <w:r w:rsidRPr="0058702B">
        <w:t>HTP-n</w:t>
      </w:r>
      <w:proofErr w:type="spellEnd"/>
      <w:r w:rsidRPr="0058702B">
        <w:t xml:space="preserve"> a nap 24 órájában folyamatos ügyeleti szolgálat működik, amely ellátja a </w:t>
      </w:r>
      <w:r>
        <w:t>Várme</w:t>
      </w:r>
      <w:r w:rsidRPr="0058702B">
        <w:t>gyei Műveletirányítási Ügyelet irányábó</w:t>
      </w:r>
      <w:r>
        <w:t xml:space="preserve">l érkező riasztások, valamint az esetleges </w:t>
      </w:r>
      <w:r w:rsidRPr="0058702B">
        <w:t>közvetlen jelzések vételét, és végrehajtja az azzal kapcsolatos további intézkedéseket. A híradó-ügyeletes folyamatosan figyelemmel kíséri a káresetek alakulását, rögzí</w:t>
      </w:r>
      <w:r>
        <w:t>ti a visszajelzéseket, továbbá</w:t>
      </w:r>
      <w:r w:rsidRPr="0058702B">
        <w:t xml:space="preserve"> kapcsolatot tart </w:t>
      </w:r>
      <w:r>
        <w:t xml:space="preserve">a </w:t>
      </w:r>
      <w:r w:rsidRPr="0058702B">
        <w:t xml:space="preserve">Pest </w:t>
      </w:r>
      <w:r>
        <w:t>VM</w:t>
      </w:r>
      <w:r w:rsidRPr="0058702B">
        <w:t xml:space="preserve">KI ügyeletével. </w:t>
      </w:r>
    </w:p>
    <w:p w14:paraId="19209FD5" w14:textId="277D6ABD" w:rsidR="00D5582E" w:rsidRPr="00524A0D" w:rsidRDefault="00D5582E" w:rsidP="00D5582E">
      <w:pPr>
        <w:pStyle w:val="NormlWeb"/>
        <w:spacing w:before="0" w:beforeAutospacing="0" w:after="0" w:afterAutospacing="0"/>
        <w:jc w:val="both"/>
      </w:pPr>
      <w:r w:rsidRPr="0058702B">
        <w:t>A híradó-szolgálatot ellátók a részükre előírt továbbképzéseken részt vettek. A kárhelyszínen történő beava</w:t>
      </w:r>
      <w:r>
        <w:t>tkozások sikeres felszámolásába</w:t>
      </w:r>
      <w:r w:rsidRPr="0058702B">
        <w:t xml:space="preserve"> aktívan</w:t>
      </w:r>
      <w:r>
        <w:t xml:space="preserve"> bekapcsolódtak</w:t>
      </w:r>
      <w:r w:rsidRPr="0058702B">
        <w:t xml:space="preserve">, segítséget nyújtva a helyszínen lévő tűzoltóknak. </w:t>
      </w:r>
      <w:r w:rsidR="00CA7C9A">
        <w:t xml:space="preserve">Az ügyeleti </w:t>
      </w:r>
      <w:r w:rsidR="00CA7C9A" w:rsidRPr="0058702B">
        <w:t xml:space="preserve">helyiség rendelkezik a szükséges </w:t>
      </w:r>
      <w:r w:rsidR="00CA7C9A">
        <w:t xml:space="preserve">támogató </w:t>
      </w:r>
      <w:r w:rsidR="00CA7C9A" w:rsidRPr="0058702B">
        <w:t>informatikai háttérre</w:t>
      </w:r>
      <w:r w:rsidR="00CA7C9A">
        <w:t>l, a Gépészeti Vezérlő Rendszerrel.</w:t>
      </w:r>
    </w:p>
    <w:p w14:paraId="25E34498" w14:textId="688EBF3C" w:rsidR="00916597" w:rsidRPr="009662F4" w:rsidRDefault="00D5582E" w:rsidP="00FE475F">
      <w:pPr>
        <w:pStyle w:val="Cmsor1"/>
        <w:spacing w:before="100" w:beforeAutospacing="1" w:after="100" w:afterAutospacing="1" w:line="240" w:lineRule="atLeast"/>
        <w:rPr>
          <w:b/>
        </w:rPr>
      </w:pPr>
      <w:bookmarkStart w:id="10" w:name="_Toc5110161"/>
      <w:bookmarkStart w:id="11" w:name="_Toc40190332"/>
      <w:r>
        <w:rPr>
          <w:b/>
        </w:rPr>
        <w:t>VII</w:t>
      </w:r>
      <w:r w:rsidR="00916597" w:rsidRPr="007925AA">
        <w:rPr>
          <w:b/>
        </w:rPr>
        <w:t>. Társszervekkel való együttműködés tapasztalatai, értékelése</w:t>
      </w:r>
      <w:bookmarkEnd w:id="10"/>
      <w:bookmarkEnd w:id="11"/>
    </w:p>
    <w:p w14:paraId="09E637DC" w14:textId="063CCAE4" w:rsidR="00916597" w:rsidRDefault="00916597" w:rsidP="00C61E4D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Parancsnokságunk kiemelt figyelmet fordít a társ</w:t>
      </w:r>
      <w:r w:rsidR="00D560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, és együttműködő szervek</w:t>
      </w:r>
      <w:r w:rsidR="00C97354">
        <w:rPr>
          <w:rFonts w:ascii="Times New Roman" w:hAnsi="Times New Roman"/>
          <w:sz w:val="24"/>
          <w:szCs w:val="24"/>
        </w:rPr>
        <w:t>kel</w:t>
      </w:r>
      <w:r>
        <w:rPr>
          <w:rFonts w:ascii="Times New Roman" w:hAnsi="Times New Roman"/>
          <w:sz w:val="24"/>
          <w:szCs w:val="24"/>
        </w:rPr>
        <w:t>, a helyi önkormányzatokkal, valamint a civil szervezetekkel való szoros együttműködésre. A készenléti állomány alapfeladatai ellátás</w:t>
      </w:r>
      <w:r w:rsidR="00C97354">
        <w:rPr>
          <w:rFonts w:ascii="Times New Roman" w:hAnsi="Times New Roman"/>
          <w:sz w:val="24"/>
          <w:szCs w:val="24"/>
        </w:rPr>
        <w:t>a közben a rendőrség és a mentő</w:t>
      </w:r>
      <w:r>
        <w:rPr>
          <w:rFonts w:ascii="Times New Roman" w:hAnsi="Times New Roman"/>
          <w:sz w:val="24"/>
          <w:szCs w:val="24"/>
        </w:rPr>
        <w:t xml:space="preserve">szolgálat munkatársaival </w:t>
      </w:r>
      <w:r w:rsidR="00C97354">
        <w:rPr>
          <w:rFonts w:ascii="Times New Roman" w:hAnsi="Times New Roman"/>
          <w:sz w:val="24"/>
          <w:szCs w:val="24"/>
        </w:rPr>
        <w:t xml:space="preserve">közvetlen </w:t>
      </w:r>
      <w:r w:rsidR="00D56027">
        <w:rPr>
          <w:rFonts w:ascii="Times New Roman" w:hAnsi="Times New Roman"/>
          <w:sz w:val="24"/>
          <w:szCs w:val="24"/>
        </w:rPr>
        <w:t>együttműködést alakított</w:t>
      </w:r>
      <w:r w:rsidRPr="006F57C7">
        <w:rPr>
          <w:rFonts w:ascii="Times New Roman" w:hAnsi="Times New Roman"/>
          <w:sz w:val="24"/>
          <w:szCs w:val="24"/>
        </w:rPr>
        <w:t xml:space="preserve"> ki, </w:t>
      </w:r>
      <w:r w:rsidR="00D5582E">
        <w:rPr>
          <w:rFonts w:ascii="Times New Roman" w:hAnsi="Times New Roman"/>
          <w:sz w:val="24"/>
          <w:szCs w:val="24"/>
        </w:rPr>
        <w:t>a</w:t>
      </w:r>
      <w:r w:rsidRPr="006F57C7">
        <w:rPr>
          <w:rFonts w:ascii="Times New Roman" w:hAnsi="Times New Roman"/>
          <w:sz w:val="24"/>
          <w:szCs w:val="24"/>
        </w:rPr>
        <w:t xml:space="preserve">melynek alapja a kölcsönös segítségnyújtás. </w:t>
      </w:r>
      <w:r w:rsidRPr="007925AA">
        <w:rPr>
          <w:rFonts w:ascii="Times New Roman" w:hAnsi="Times New Roman"/>
          <w:sz w:val="24"/>
          <w:szCs w:val="24"/>
        </w:rPr>
        <w:t xml:space="preserve">A káresetek helyszínén </w:t>
      </w:r>
      <w:r>
        <w:rPr>
          <w:rFonts w:ascii="Times New Roman" w:hAnsi="Times New Roman"/>
          <w:sz w:val="24"/>
          <w:szCs w:val="24"/>
        </w:rPr>
        <w:t>végzett</w:t>
      </w:r>
      <w:r w:rsidRPr="007925AA">
        <w:rPr>
          <w:rFonts w:ascii="Times New Roman" w:hAnsi="Times New Roman"/>
          <w:sz w:val="24"/>
          <w:szCs w:val="24"/>
        </w:rPr>
        <w:t xml:space="preserve"> közös munka </w:t>
      </w:r>
      <w:r w:rsidR="00245992">
        <w:rPr>
          <w:rFonts w:ascii="Times New Roman" w:hAnsi="Times New Roman"/>
          <w:sz w:val="24"/>
          <w:szCs w:val="24"/>
        </w:rPr>
        <w:t>hatékony</w:t>
      </w:r>
      <w:r w:rsidRPr="007925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gyakorlatok végrehajt</w:t>
      </w:r>
      <w:r w:rsidR="00C97354">
        <w:rPr>
          <w:rFonts w:ascii="Times New Roman" w:hAnsi="Times New Roman"/>
          <w:sz w:val="24"/>
          <w:szCs w:val="24"/>
        </w:rPr>
        <w:t>ásába</w:t>
      </w:r>
      <w:r w:rsidR="00EE23A6">
        <w:rPr>
          <w:rFonts w:ascii="Times New Roman" w:hAnsi="Times New Roman"/>
          <w:sz w:val="24"/>
          <w:szCs w:val="24"/>
        </w:rPr>
        <w:t xml:space="preserve"> a társszerveket bevontuk, vezetőikkel naprakész, erős kapcsolatot alakítottunk ki.</w:t>
      </w:r>
      <w:r w:rsidR="001B0319">
        <w:rPr>
          <w:rFonts w:ascii="Times New Roman" w:hAnsi="Times New Roman"/>
          <w:sz w:val="24"/>
          <w:szCs w:val="24"/>
        </w:rPr>
        <w:t xml:space="preserve"> A képzéseink során a szakma-</w:t>
      </w:r>
      <w:r>
        <w:rPr>
          <w:rFonts w:ascii="Times New Roman" w:hAnsi="Times New Roman"/>
          <w:sz w:val="24"/>
          <w:szCs w:val="24"/>
        </w:rPr>
        <w:t>specifikus ismeretek okta</w:t>
      </w:r>
      <w:r w:rsidR="00EE23A6">
        <w:rPr>
          <w:rFonts w:ascii="Times New Roman" w:hAnsi="Times New Roman"/>
          <w:sz w:val="24"/>
          <w:szCs w:val="24"/>
        </w:rPr>
        <w:t>tása is rendszeresen megtörtént</w:t>
      </w:r>
      <w:r>
        <w:rPr>
          <w:rFonts w:ascii="Times New Roman" w:hAnsi="Times New Roman"/>
          <w:sz w:val="24"/>
          <w:szCs w:val="24"/>
        </w:rPr>
        <w:t>.</w:t>
      </w:r>
      <w:bookmarkStart w:id="12" w:name="_Toc5110162"/>
      <w:bookmarkStart w:id="13" w:name="_Toc40190333"/>
    </w:p>
    <w:p w14:paraId="4975D23C" w14:textId="02824CFD" w:rsidR="001B0319" w:rsidRPr="00913855" w:rsidRDefault="00C97354" w:rsidP="00C61E4D">
      <w:pPr>
        <w:widowControl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településekkel szoros együttműködésre törekedtünk a mentő tűzvédelem hatékonyságának növelése érdekében. Az önkormányzatokkal való közvetlen kapcsolattartás kiemelt fontosságú a területhez tartozó valamennyi településen. A hatékony együttműködés és az információáramlás mindkét fél munkavégzésé</w:t>
      </w:r>
      <w:r w:rsidR="00245992">
        <w:rPr>
          <w:rFonts w:ascii="Times New Roman" w:hAnsi="Times New Roman"/>
          <w:color w:val="000000"/>
          <w:sz w:val="24"/>
          <w:szCs w:val="24"/>
        </w:rPr>
        <w:t xml:space="preserve">t, reagáló képességét fejlesztette. </w:t>
      </w:r>
    </w:p>
    <w:bookmarkEnd w:id="12"/>
    <w:bookmarkEnd w:id="13"/>
    <w:p w14:paraId="70C65D90" w14:textId="37166A82" w:rsidR="006A3AD1" w:rsidRPr="009662F4" w:rsidRDefault="00D5582E" w:rsidP="006A3AD1">
      <w:pPr>
        <w:pStyle w:val="Cmsor1"/>
        <w:spacing w:before="100" w:beforeAutospacing="1" w:after="100" w:afterAutospacing="1" w:line="240" w:lineRule="atLeast"/>
        <w:rPr>
          <w:b/>
        </w:rPr>
      </w:pPr>
      <w:r>
        <w:rPr>
          <w:b/>
        </w:rPr>
        <w:t>I</w:t>
      </w:r>
      <w:r w:rsidR="006A3AD1">
        <w:rPr>
          <w:b/>
        </w:rPr>
        <w:t>X</w:t>
      </w:r>
      <w:r w:rsidR="006A3AD1" w:rsidRPr="008F048C">
        <w:rPr>
          <w:b/>
        </w:rPr>
        <w:t xml:space="preserve">. </w:t>
      </w:r>
      <w:r w:rsidR="006A3AD1">
        <w:rPr>
          <w:b/>
        </w:rPr>
        <w:t xml:space="preserve">A </w:t>
      </w:r>
      <w:r w:rsidR="006A3AD1" w:rsidRPr="008F048C">
        <w:rPr>
          <w:b/>
        </w:rPr>
        <w:t xml:space="preserve">HTP működésének tárgyi </w:t>
      </w:r>
      <w:r w:rsidR="00245992">
        <w:rPr>
          <w:b/>
        </w:rPr>
        <w:t xml:space="preserve">és személyi </w:t>
      </w:r>
      <w:r w:rsidR="006A3AD1" w:rsidRPr="008F048C">
        <w:rPr>
          <w:b/>
        </w:rPr>
        <w:t>feltételei</w:t>
      </w:r>
    </w:p>
    <w:p w14:paraId="050043AB" w14:textId="47CB0434" w:rsidR="006A3AD1" w:rsidRPr="007925AA" w:rsidRDefault="006A3AD1" w:rsidP="006A3AD1">
      <w:pPr>
        <w:widowControl w:val="0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Érd</w:t>
      </w:r>
      <w:r w:rsidRPr="007925AA">
        <w:rPr>
          <w:rFonts w:ascii="Times New Roman" w:hAnsi="Times New Roman"/>
          <w:sz w:val="24"/>
          <w:szCs w:val="24"/>
        </w:rPr>
        <w:t xml:space="preserve"> HTP rendelkezik mindazon szakfelszereléssel, illetve egyéni védőeszközzel, </w:t>
      </w:r>
      <w:r w:rsidR="00EF79DB">
        <w:rPr>
          <w:rFonts w:ascii="Times New Roman" w:hAnsi="Times New Roman"/>
          <w:sz w:val="24"/>
          <w:szCs w:val="24"/>
        </w:rPr>
        <w:t>a</w:t>
      </w:r>
      <w:r w:rsidRPr="007925AA">
        <w:rPr>
          <w:rFonts w:ascii="Times New Roman" w:hAnsi="Times New Roman"/>
          <w:sz w:val="24"/>
          <w:szCs w:val="24"/>
        </w:rPr>
        <w:t xml:space="preserve">melyek szükségesek egy </w:t>
      </w:r>
      <w:r w:rsidRPr="006F57C7">
        <w:rPr>
          <w:rFonts w:ascii="Times New Roman" w:hAnsi="Times New Roman"/>
          <w:sz w:val="24"/>
          <w:szCs w:val="24"/>
        </w:rPr>
        <w:t xml:space="preserve">káresemény gyors </w:t>
      </w:r>
      <w:r w:rsidRPr="007925AA">
        <w:rPr>
          <w:rFonts w:ascii="Times New Roman" w:hAnsi="Times New Roman"/>
          <w:sz w:val="24"/>
          <w:szCs w:val="24"/>
        </w:rPr>
        <w:t xml:space="preserve">felszámolásához. </w:t>
      </w:r>
    </w:p>
    <w:p w14:paraId="7630AF64" w14:textId="526D2039" w:rsidR="006A3AD1" w:rsidRDefault="006A3AD1" w:rsidP="006A3AD1">
      <w:pPr>
        <w:widowControl w:val="0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03329B">
        <w:rPr>
          <w:rFonts w:ascii="Times New Roman" w:hAnsi="Times New Roman"/>
          <w:sz w:val="24"/>
          <w:szCs w:val="24"/>
        </w:rPr>
        <w:t xml:space="preserve">A motoros és elektromos kisgépek, hidraulikus feszítő-vágó berendezések, áramfejlesztők, gyorsdarabolók, roncsvágók, valamint emelőpárnák és a tűzoltó készülékek éves biztonságtechnikai felülvizsgálatai határidőre megtörténtek, a gépjárműfecskendők </w:t>
      </w:r>
      <w:r>
        <w:rPr>
          <w:rFonts w:ascii="Times New Roman" w:hAnsi="Times New Roman"/>
          <w:sz w:val="24"/>
          <w:szCs w:val="24"/>
        </w:rPr>
        <w:t>karbantartásáról gondoskodtunk.</w:t>
      </w:r>
    </w:p>
    <w:p w14:paraId="44C578FA" w14:textId="2D2E8CDC" w:rsidR="006A3AD1" w:rsidRDefault="00270E7F" w:rsidP="006A3AD1">
      <w:pPr>
        <w:widowControl w:val="0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0774E">
        <w:rPr>
          <w:rFonts w:ascii="Times New Roman" w:hAnsi="Times New Roman"/>
          <w:sz w:val="24"/>
          <w:szCs w:val="24"/>
        </w:rPr>
        <w:t xml:space="preserve">korszerű napkollektorok a költséghatékony üzemeltetést biztosítják. </w:t>
      </w:r>
      <w:r w:rsidR="00195A34">
        <w:rPr>
          <w:rFonts w:ascii="Times New Roman" w:hAnsi="Times New Roman"/>
          <w:sz w:val="24"/>
          <w:szCs w:val="24"/>
        </w:rPr>
        <w:t>A</w:t>
      </w:r>
      <w:r w:rsidR="006A3AD1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Érd HTP</w:t>
      </w:r>
      <w:r w:rsidR="006A3AD1">
        <w:rPr>
          <w:rFonts w:ascii="Times New Roman" w:hAnsi="Times New Roman"/>
          <w:sz w:val="24"/>
          <w:szCs w:val="24"/>
        </w:rPr>
        <w:t xml:space="preserve"> tetőszerkezetének javítása</w:t>
      </w:r>
      <w:r w:rsidR="0022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megvalósult. Mindkét laktanya rendelkezik</w:t>
      </w:r>
      <w:r w:rsidR="006A3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kiépített </w:t>
      </w:r>
      <w:r w:rsidR="006A3AD1">
        <w:rPr>
          <w:rFonts w:ascii="Times New Roman" w:hAnsi="Times New Roman"/>
          <w:sz w:val="24"/>
          <w:szCs w:val="24"/>
        </w:rPr>
        <w:t>IP kamerarendszer</w:t>
      </w:r>
      <w:r>
        <w:rPr>
          <w:rFonts w:ascii="Times New Roman" w:hAnsi="Times New Roman"/>
          <w:sz w:val="24"/>
          <w:szCs w:val="24"/>
        </w:rPr>
        <w:t>rel</w:t>
      </w:r>
      <w:r w:rsidR="006A3AD1">
        <w:rPr>
          <w:rFonts w:ascii="Times New Roman" w:hAnsi="Times New Roman"/>
          <w:sz w:val="24"/>
          <w:szCs w:val="24"/>
        </w:rPr>
        <w:t xml:space="preserve">. </w:t>
      </w:r>
    </w:p>
    <w:p w14:paraId="0819A886" w14:textId="48BA20E1" w:rsidR="00245992" w:rsidRPr="0003329B" w:rsidRDefault="006A3AD1" w:rsidP="006A3AD1">
      <w:pPr>
        <w:widowControl w:val="0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állomány biztonságos beavatkozásának támogatására </w:t>
      </w:r>
      <w:r w:rsidR="00270E7F">
        <w:rPr>
          <w:rFonts w:ascii="Times New Roman" w:hAnsi="Times New Roman"/>
          <w:sz w:val="24"/>
          <w:szCs w:val="24"/>
        </w:rPr>
        <w:t xml:space="preserve">fejlesztés keretében </w:t>
      </w:r>
      <w:r w:rsidR="00041AE9">
        <w:rPr>
          <w:rFonts w:ascii="Times New Roman" w:hAnsi="Times New Roman"/>
          <w:sz w:val="24"/>
          <w:szCs w:val="24"/>
        </w:rPr>
        <w:t xml:space="preserve">műszaki- és </w:t>
      </w:r>
      <w:r w:rsidR="00041AE9" w:rsidRPr="00763E94">
        <w:rPr>
          <w:rFonts w:ascii="Times New Roman" w:hAnsi="Times New Roman"/>
          <w:color w:val="000000"/>
          <w:sz w:val="24"/>
          <w:szCs w:val="24"/>
        </w:rPr>
        <w:t>tec</w:t>
      </w:r>
      <w:r w:rsidR="00041AE9">
        <w:rPr>
          <w:rFonts w:ascii="Times New Roman" w:hAnsi="Times New Roman"/>
          <w:color w:val="000000"/>
          <w:sz w:val="24"/>
          <w:szCs w:val="24"/>
        </w:rPr>
        <w:t>hnikai eszközparkunk fejlődött, bővült.</w:t>
      </w:r>
    </w:p>
    <w:p w14:paraId="2AD8C601" w14:textId="5B2D6BB3" w:rsidR="00916597" w:rsidRPr="006F57C7" w:rsidRDefault="00916597" w:rsidP="00FE475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25AA">
        <w:rPr>
          <w:rFonts w:ascii="Times New Roman" w:hAnsi="Times New Roman"/>
          <w:sz w:val="24"/>
          <w:szCs w:val="24"/>
        </w:rPr>
        <w:t>A képzési tematikában továbbra is jelent</w:t>
      </w:r>
      <w:r>
        <w:rPr>
          <w:rFonts w:ascii="Times New Roman" w:hAnsi="Times New Roman"/>
          <w:sz w:val="24"/>
          <w:szCs w:val="24"/>
        </w:rPr>
        <w:t>ős szerepet kapott a beavatkozó</w:t>
      </w:r>
      <w:r w:rsidRPr="007925AA">
        <w:rPr>
          <w:rFonts w:ascii="Times New Roman" w:hAnsi="Times New Roman"/>
          <w:sz w:val="24"/>
          <w:szCs w:val="24"/>
        </w:rPr>
        <w:t xml:space="preserve"> állomány fizikai állóképességének szint</w:t>
      </w:r>
      <w:r w:rsidR="00270E7F">
        <w:rPr>
          <w:rFonts w:ascii="Times New Roman" w:hAnsi="Times New Roman"/>
          <w:sz w:val="24"/>
          <w:szCs w:val="24"/>
        </w:rPr>
        <w:t>en tartása és fejlesztése, amelyne</w:t>
      </w:r>
      <w:r w:rsidRPr="007925AA">
        <w:rPr>
          <w:rFonts w:ascii="Times New Roman" w:hAnsi="Times New Roman"/>
          <w:sz w:val="24"/>
          <w:szCs w:val="24"/>
        </w:rPr>
        <w:t>k fokozott jelentősége van a</w:t>
      </w:r>
      <w:r w:rsidR="00270E7F">
        <w:rPr>
          <w:rFonts w:ascii="Times New Roman" w:hAnsi="Times New Roman"/>
          <w:sz w:val="24"/>
          <w:szCs w:val="24"/>
        </w:rPr>
        <w:t xml:space="preserve"> hosszantartó igénybevételek </w:t>
      </w:r>
      <w:r>
        <w:rPr>
          <w:rFonts w:ascii="Times New Roman" w:hAnsi="Times New Roman"/>
          <w:sz w:val="24"/>
          <w:szCs w:val="24"/>
        </w:rPr>
        <w:t>és</w:t>
      </w:r>
      <w:r w:rsidRPr="007925AA">
        <w:rPr>
          <w:rFonts w:ascii="Times New Roman" w:hAnsi="Times New Roman"/>
          <w:sz w:val="24"/>
          <w:szCs w:val="24"/>
        </w:rPr>
        <w:t xml:space="preserve"> a mindennapi munkavégzés során is. </w:t>
      </w:r>
    </w:p>
    <w:p w14:paraId="08672356" w14:textId="6F84E443" w:rsidR="00F94F68" w:rsidRDefault="00916597" w:rsidP="005256A6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7C7">
        <w:rPr>
          <w:rFonts w:ascii="Times New Roman" w:hAnsi="Times New Roman"/>
          <w:sz w:val="24"/>
          <w:szCs w:val="24"/>
        </w:rPr>
        <w:t xml:space="preserve">Az egészségmegőrzést szem előtt tartva a laktanyában is biztosított a sportolási lehetőség. </w:t>
      </w:r>
      <w:r w:rsidR="001B0319">
        <w:rPr>
          <w:rFonts w:ascii="Times New Roman" w:hAnsi="Times New Roman"/>
          <w:sz w:val="24"/>
          <w:szCs w:val="24"/>
        </w:rPr>
        <w:t>A</w:t>
      </w:r>
      <w:r w:rsidR="00270E7F">
        <w:rPr>
          <w:rFonts w:ascii="Times New Roman" w:hAnsi="Times New Roman"/>
          <w:sz w:val="24"/>
          <w:szCs w:val="24"/>
        </w:rPr>
        <w:t>z állomány évről-</w:t>
      </w:r>
      <w:r w:rsidRPr="006F57C7">
        <w:rPr>
          <w:rFonts w:ascii="Times New Roman" w:hAnsi="Times New Roman"/>
          <w:sz w:val="24"/>
          <w:szCs w:val="24"/>
        </w:rPr>
        <w:t xml:space="preserve">évre eredményesen vesz részt országos és </w:t>
      </w:r>
      <w:r w:rsidR="00CA7C9A">
        <w:rPr>
          <w:rFonts w:ascii="Times New Roman" w:hAnsi="Times New Roman"/>
          <w:sz w:val="24"/>
          <w:szCs w:val="24"/>
        </w:rPr>
        <w:t>vár</w:t>
      </w:r>
      <w:r w:rsidRPr="006F57C7">
        <w:rPr>
          <w:rFonts w:ascii="Times New Roman" w:hAnsi="Times New Roman"/>
          <w:sz w:val="24"/>
          <w:szCs w:val="24"/>
        </w:rPr>
        <w:t>megyei szintű sport- és szakmai versenyeken</w:t>
      </w:r>
      <w:r w:rsidR="00F94F68">
        <w:rPr>
          <w:rFonts w:ascii="Times New Roman" w:hAnsi="Times New Roman"/>
          <w:sz w:val="24"/>
          <w:szCs w:val="24"/>
        </w:rPr>
        <w:t xml:space="preserve">. </w:t>
      </w:r>
    </w:p>
    <w:p w14:paraId="5BD0260E" w14:textId="77777777" w:rsidR="00856700" w:rsidRDefault="00856700" w:rsidP="005256A6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531FE" w14:textId="21E08009" w:rsidR="0091393B" w:rsidRPr="00CA4526" w:rsidRDefault="00245992" w:rsidP="0075503A">
      <w:pPr>
        <w:pStyle w:val="Cmsor1"/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X</w:t>
      </w:r>
      <w:r w:rsidR="0091393B" w:rsidRPr="00CA4526">
        <w:rPr>
          <w:b/>
          <w:bCs/>
        </w:rPr>
        <w:t>. Összegzés</w:t>
      </w:r>
    </w:p>
    <w:p w14:paraId="024B6377" w14:textId="03948246" w:rsidR="00270E7F" w:rsidRDefault="00270E7F" w:rsidP="001B0319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526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CA4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Érd</w:t>
      </w:r>
      <w:r w:rsidRPr="00CA4526">
        <w:rPr>
          <w:rFonts w:ascii="Times New Roman" w:hAnsi="Times New Roman"/>
          <w:sz w:val="24"/>
          <w:szCs w:val="24"/>
          <w:shd w:val="clear" w:color="auto" w:fill="FFFFFF"/>
        </w:rPr>
        <w:t xml:space="preserve"> HTP </w:t>
      </w:r>
      <w:r w:rsidR="00195A34">
        <w:rPr>
          <w:rFonts w:ascii="Times New Roman" w:hAnsi="Times New Roman"/>
          <w:sz w:val="24"/>
          <w:szCs w:val="24"/>
          <w:shd w:val="clear" w:color="auto" w:fill="FFFFFF"/>
        </w:rPr>
        <w:t>2023-</w:t>
      </w:r>
      <w:r w:rsidRPr="00CA4526">
        <w:rPr>
          <w:rFonts w:ascii="Times New Roman" w:hAnsi="Times New Roman"/>
          <w:sz w:val="24"/>
          <w:szCs w:val="24"/>
          <w:shd w:val="clear" w:color="auto" w:fill="FFFFFF"/>
        </w:rPr>
        <w:t xml:space="preserve">ban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biztosította a működési területén lévő </w:t>
      </w:r>
      <w:r w:rsidR="001743D6" w:rsidRPr="001743D6">
        <w:rPr>
          <w:rFonts w:ascii="Times New Roman" w:hAnsi="Times New Roman"/>
          <w:sz w:val="24"/>
          <w:szCs w:val="24"/>
          <w:shd w:val="clear" w:color="auto" w:fill="FFFFFF"/>
        </w:rPr>
        <w:t>állampolg</w:t>
      </w:r>
      <w:r w:rsidR="00195A34">
        <w:rPr>
          <w:rFonts w:ascii="Times New Roman" w:hAnsi="Times New Roman"/>
          <w:sz w:val="24"/>
          <w:szCs w:val="24"/>
          <w:shd w:val="clear" w:color="auto" w:fill="FFFFFF"/>
        </w:rPr>
        <w:t xml:space="preserve">árok élet- és vagyonbiztonságát, azt mindvégig </w:t>
      </w:r>
      <w:r w:rsidR="001743D6" w:rsidRPr="001743D6">
        <w:rPr>
          <w:rFonts w:ascii="Times New Roman" w:hAnsi="Times New Roman"/>
          <w:sz w:val="24"/>
          <w:szCs w:val="24"/>
          <w:shd w:val="clear" w:color="auto" w:fill="FFFFFF"/>
        </w:rPr>
        <w:t>szem előtt tartva végezte feladatait igazodva a lakossági elvárásokhoz.</w:t>
      </w:r>
      <w:r w:rsidR="001743D6">
        <w:rPr>
          <w:rFonts w:ascii="Times New Roman" w:hAnsi="Times New Roman"/>
          <w:sz w:val="24"/>
          <w:szCs w:val="24"/>
          <w:shd w:val="clear" w:color="auto" w:fill="FFFFFF"/>
        </w:rPr>
        <w:t xml:space="preserve"> A személyi állományunk az </w:t>
      </w:r>
      <w:r w:rsidRPr="00CA4526">
        <w:rPr>
          <w:rFonts w:ascii="Times New Roman" w:hAnsi="Times New Roman"/>
          <w:sz w:val="24"/>
          <w:szCs w:val="24"/>
          <w:shd w:val="clear" w:color="auto" w:fill="FFFFFF"/>
        </w:rPr>
        <w:t xml:space="preserve">előre jelezhető kockázatokra felkészült, a bekövetkezett káreseményeket </w:t>
      </w:r>
      <w:r w:rsidR="001743D6">
        <w:rPr>
          <w:rFonts w:ascii="Times New Roman" w:hAnsi="Times New Roman"/>
          <w:sz w:val="24"/>
          <w:szCs w:val="24"/>
          <w:shd w:val="clear" w:color="auto" w:fill="FFFFFF"/>
        </w:rPr>
        <w:t xml:space="preserve">maradéktalanul felszámolta és </w:t>
      </w:r>
      <w:r w:rsidRPr="00CA4526">
        <w:rPr>
          <w:rFonts w:ascii="Times New Roman" w:hAnsi="Times New Roman"/>
          <w:sz w:val="24"/>
          <w:szCs w:val="24"/>
          <w:shd w:val="clear" w:color="auto" w:fill="FFFFFF"/>
        </w:rPr>
        <w:t>nagy hangsúlyt fektetett a lakosság biztonságának és biztonságérzetének növelésére.</w:t>
      </w:r>
    </w:p>
    <w:p w14:paraId="4AEA263E" w14:textId="46C25BAE" w:rsidR="001743D6" w:rsidRPr="001743D6" w:rsidRDefault="001743D6" w:rsidP="001B031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hatósági szemlélet alkalmazása a mentő tűzvédelemben nagymértékben elősegítette a tűzesetek számának csökkentését, az épített környezetben és a szabadtéri erdő és vegetációs területen is. A lakosság elvárásainak megfelelően a beérkezett jelzéseket (tűzeset, műszaki mentés) haladéktalanul, az állomány legjobb tudása szerint számolta fel, hajtotta végre az állampolgárok megelégedésére. A készenléti szolgálatot ellátó állomány tűzoltási és műszaki mentési tevékenységére, a munkavégzés hatékonyságára, minőségére panasz, kifogás nem érkezett. Rendszeresen tájékoztattuk a lakosságot az időszakos veszélyforrásokról a központi ismertetők felhasználásával a helyi médián és önkormányzatokon, vagy személyes előadásokon keresztül.</w:t>
      </w:r>
    </w:p>
    <w:p w14:paraId="26FBAF79" w14:textId="03B26465" w:rsidR="0091393B" w:rsidRPr="001B0319" w:rsidRDefault="00270E7F" w:rsidP="001B031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319">
        <w:rPr>
          <w:rFonts w:ascii="Times New Roman" w:hAnsi="Times New Roman"/>
          <w:color w:val="000000"/>
          <w:sz w:val="24"/>
          <w:szCs w:val="24"/>
        </w:rPr>
        <w:t>Törekedtünk a magas szintű szakmai tevékenységre</w:t>
      </w:r>
      <w:r w:rsidR="0091393B" w:rsidRPr="001B0319">
        <w:rPr>
          <w:rFonts w:ascii="Times New Roman" w:hAnsi="Times New Roman"/>
          <w:color w:val="000000"/>
          <w:sz w:val="24"/>
          <w:szCs w:val="24"/>
        </w:rPr>
        <w:t xml:space="preserve"> szem előtt tartva a társszervekkel, önkormányzatokkal és a lakossággal történő kapcsolattartást. Az állomány felkészültségében, fegyelmezettségében, hivatástudatában elért színvonal megt</w:t>
      </w:r>
      <w:r w:rsidR="001743D6" w:rsidRPr="001B0319">
        <w:rPr>
          <w:rFonts w:ascii="Times New Roman" w:hAnsi="Times New Roman"/>
          <w:color w:val="000000"/>
          <w:sz w:val="24"/>
          <w:szCs w:val="24"/>
        </w:rPr>
        <w:t>artása továbbra is célunk</w:t>
      </w:r>
      <w:r w:rsidR="0091393B" w:rsidRPr="001B03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FF828E4" w14:textId="0F056E52" w:rsidR="001743D6" w:rsidRPr="001B0319" w:rsidRDefault="001B0319" w:rsidP="001B0319">
      <w:pPr>
        <w:pStyle w:val="Szvegtrzs21"/>
        <w:spacing w:after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A </w:t>
      </w:r>
      <w:r w:rsidR="001743D6" w:rsidRPr="001B0319">
        <w:rPr>
          <w:rFonts w:eastAsia="Calibri"/>
          <w:color w:val="000000"/>
          <w:lang w:eastAsia="en-US"/>
        </w:rPr>
        <w:t xml:space="preserve">2023. évre tervezett fő feladatok és célkitűzések teljesültek. A tűzoltó-parancsnokság készenléti állományának szolgálatellátása </w:t>
      </w:r>
      <w:r w:rsidR="00D0774E">
        <w:rPr>
          <w:rFonts w:eastAsia="Calibri"/>
          <w:color w:val="000000"/>
          <w:lang w:eastAsia="en-US"/>
        </w:rPr>
        <w:t>folyamatosan</w:t>
      </w:r>
      <w:r w:rsidR="001743D6" w:rsidRPr="001B0319">
        <w:rPr>
          <w:rFonts w:eastAsia="Calibri"/>
          <w:color w:val="000000"/>
          <w:lang w:eastAsia="en-US"/>
        </w:rPr>
        <w:t xml:space="preserve"> biztosításra került.</w:t>
      </w:r>
    </w:p>
    <w:p w14:paraId="735663B6" w14:textId="220BBF6D" w:rsidR="00195A34" w:rsidRPr="00D0774E" w:rsidRDefault="00913855" w:rsidP="00D0774E">
      <w:pPr>
        <w:pStyle w:val="Szvegtrzs21"/>
        <w:spacing w:after="240"/>
        <w:rPr>
          <w:rFonts w:eastAsia="Calibri"/>
          <w:color w:val="000000"/>
          <w:lang w:eastAsia="en-US"/>
        </w:rPr>
      </w:pPr>
      <w:r w:rsidRPr="001B0319">
        <w:rPr>
          <w:rFonts w:eastAsia="Calibri"/>
          <w:color w:val="000000"/>
          <w:lang w:eastAsia="en-US"/>
        </w:rPr>
        <w:t>A lakosság védelme érdekében minden területen lévő állampolgárt és együttműködőt biztosítunk arról, hogy 2024. évben továbbra is számíthat az Érd HTP személyi állományára.</w:t>
      </w:r>
      <w:r w:rsidR="00D0774E">
        <w:rPr>
          <w:rFonts w:eastAsia="Calibri"/>
          <w:color w:val="000000"/>
          <w:lang w:eastAsia="en-US"/>
        </w:rPr>
        <w:t xml:space="preserve"> </w:t>
      </w:r>
    </w:p>
    <w:p w14:paraId="1059D87F" w14:textId="37CD5BAE" w:rsidR="004D79DB" w:rsidRDefault="004D79DB" w:rsidP="004D7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2024. </w:t>
      </w:r>
      <w:r w:rsidRPr="00524A0D">
        <w:rPr>
          <w:rFonts w:ascii="Times New Roman" w:hAnsi="Times New Roman"/>
          <w:b/>
          <w:sz w:val="24"/>
          <w:szCs w:val="24"/>
        </w:rPr>
        <w:t xml:space="preserve">évre tervezett célok, fejlesztési </w:t>
      </w:r>
      <w:r w:rsidRPr="00C01F5D">
        <w:rPr>
          <w:rFonts w:ascii="Times New Roman" w:hAnsi="Times New Roman"/>
          <w:b/>
          <w:sz w:val="24"/>
          <w:szCs w:val="24"/>
        </w:rPr>
        <w:t>javaslatok:</w:t>
      </w:r>
      <w:r w:rsidR="00D0774E">
        <w:rPr>
          <w:rFonts w:ascii="Times New Roman" w:hAnsi="Times New Roman"/>
          <w:b/>
          <w:sz w:val="24"/>
          <w:szCs w:val="24"/>
        </w:rPr>
        <w:t xml:space="preserve"> </w:t>
      </w:r>
    </w:p>
    <w:p w14:paraId="05CBCB40" w14:textId="5E66083E" w:rsidR="0022402A" w:rsidRDefault="0022402A" w:rsidP="002240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70C1D">
        <w:rPr>
          <w:rFonts w:ascii="Times New Roman" w:hAnsi="Times New Roman"/>
          <w:sz w:val="24"/>
          <w:szCs w:val="24"/>
        </w:rPr>
        <w:t xml:space="preserve">tűzesetek visszaszorítása és a beavatkozások hatékonyságának </w:t>
      </w:r>
      <w:r>
        <w:rPr>
          <w:rFonts w:ascii="Times New Roman" w:hAnsi="Times New Roman"/>
          <w:sz w:val="24"/>
          <w:szCs w:val="24"/>
        </w:rPr>
        <w:t>növelése,</w:t>
      </w:r>
    </w:p>
    <w:p w14:paraId="61D344C5" w14:textId="60DBD488" w:rsidR="004D79DB" w:rsidRPr="004B56AF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B56AF">
        <w:rPr>
          <w:rFonts w:ascii="Times New Roman" w:hAnsi="Times New Roman"/>
          <w:sz w:val="24"/>
          <w:szCs w:val="24"/>
        </w:rPr>
        <w:t>z önkormányzatok</w:t>
      </w:r>
      <w:r w:rsidR="00D0774E">
        <w:rPr>
          <w:rFonts w:ascii="Times New Roman" w:hAnsi="Times New Roman"/>
          <w:sz w:val="24"/>
          <w:szCs w:val="24"/>
        </w:rPr>
        <w:t xml:space="preserve"> segítségével a</w:t>
      </w:r>
      <w:r w:rsidRPr="004B56AF">
        <w:rPr>
          <w:rFonts w:ascii="Times New Roman" w:hAnsi="Times New Roman"/>
          <w:sz w:val="24"/>
          <w:szCs w:val="24"/>
        </w:rPr>
        <w:t xml:space="preserve"> prevenciós tevékenység folytatása,</w:t>
      </w:r>
    </w:p>
    <w:p w14:paraId="01022218" w14:textId="119A3741" w:rsidR="004D79DB" w:rsidRPr="00534475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24A0D"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ÖTE</w:t>
      </w:r>
      <w:r w:rsidR="00511CEF">
        <w:rPr>
          <w:rFonts w:ascii="Times New Roman" w:hAnsi="Times New Roman"/>
          <w:sz w:val="24"/>
          <w:szCs w:val="24"/>
        </w:rPr>
        <w:t>-k</w:t>
      </w:r>
      <w:proofErr w:type="spellEnd"/>
      <w:r w:rsidR="00511CEF">
        <w:rPr>
          <w:rFonts w:ascii="Times New Roman" w:hAnsi="Times New Roman"/>
          <w:sz w:val="24"/>
          <w:szCs w:val="24"/>
        </w:rPr>
        <w:t xml:space="preserve"> beavatkozási részvételének növelése</w:t>
      </w:r>
      <w:r w:rsidRPr="00524A0D">
        <w:rPr>
          <w:rFonts w:ascii="Times New Roman" w:hAnsi="Times New Roman"/>
          <w:sz w:val="24"/>
          <w:szCs w:val="24"/>
        </w:rPr>
        <w:t xml:space="preserve">, </w:t>
      </w:r>
      <w:r w:rsidR="00511CEF">
        <w:rPr>
          <w:rFonts w:ascii="Times New Roman" w:hAnsi="Times New Roman"/>
          <w:sz w:val="24"/>
          <w:szCs w:val="24"/>
        </w:rPr>
        <w:t xml:space="preserve">tudásuk és </w:t>
      </w:r>
      <w:r w:rsidRPr="00524A0D">
        <w:rPr>
          <w:rFonts w:ascii="Times New Roman" w:hAnsi="Times New Roman"/>
          <w:sz w:val="24"/>
          <w:szCs w:val="24"/>
        </w:rPr>
        <w:t xml:space="preserve">technikai színvonaluk </w:t>
      </w:r>
      <w:r w:rsidR="00D0774E">
        <w:rPr>
          <w:rFonts w:ascii="Times New Roman" w:hAnsi="Times New Roman"/>
          <w:sz w:val="24"/>
          <w:szCs w:val="24"/>
        </w:rPr>
        <w:t>fejlesztéséve</w:t>
      </w:r>
      <w:r w:rsidR="00511CEF">
        <w:rPr>
          <w:rFonts w:ascii="Times New Roman" w:hAnsi="Times New Roman"/>
          <w:sz w:val="24"/>
          <w:szCs w:val="24"/>
        </w:rPr>
        <w:t xml:space="preserve">l </w:t>
      </w:r>
      <w:r w:rsidRPr="00534475">
        <w:rPr>
          <w:rFonts w:ascii="Times New Roman" w:hAnsi="Times New Roman"/>
          <w:sz w:val="24"/>
          <w:szCs w:val="24"/>
          <w:shd w:val="clear" w:color="auto" w:fill="FFFFFF"/>
        </w:rPr>
        <w:t>(a</w:t>
      </w:r>
      <w:r w:rsidR="001B03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4475">
        <w:rPr>
          <w:rFonts w:ascii="Times New Roman" w:hAnsi="Times New Roman"/>
          <w:sz w:val="24"/>
          <w:szCs w:val="24"/>
          <w:shd w:val="clear" w:color="auto" w:fill="FFFFFF"/>
        </w:rPr>
        <w:t>szakmai anyagok</w:t>
      </w:r>
      <w:r w:rsidR="001B0319">
        <w:rPr>
          <w:rFonts w:ascii="Times New Roman" w:hAnsi="Times New Roman"/>
          <w:sz w:val="24"/>
          <w:szCs w:val="24"/>
          <w:shd w:val="clear" w:color="auto" w:fill="FFFFFF"/>
        </w:rPr>
        <w:t>kal</w:t>
      </w:r>
      <w:r w:rsidRPr="00534475">
        <w:rPr>
          <w:rFonts w:ascii="Times New Roman" w:hAnsi="Times New Roman"/>
          <w:sz w:val="24"/>
          <w:szCs w:val="24"/>
          <w:shd w:val="clear" w:color="auto" w:fill="FFFFFF"/>
        </w:rPr>
        <w:t>, továbbá gyakorlatainkba bevonással),</w:t>
      </w:r>
    </w:p>
    <w:p w14:paraId="49E2B51B" w14:textId="4A3347A6" w:rsidR="004D79DB" w:rsidRPr="005A2043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043">
        <w:rPr>
          <w:rFonts w:ascii="Times New Roman" w:hAnsi="Times New Roman"/>
          <w:sz w:val="24"/>
          <w:szCs w:val="24"/>
        </w:rPr>
        <w:t>tanfolyam</w:t>
      </w:r>
      <w:r w:rsidR="00D0774E">
        <w:rPr>
          <w:rFonts w:ascii="Times New Roman" w:hAnsi="Times New Roman"/>
          <w:sz w:val="24"/>
          <w:szCs w:val="24"/>
        </w:rPr>
        <w:t>okkal és képzésekkel fejleszteni</w:t>
      </w:r>
      <w:r w:rsidRPr="005A2043">
        <w:rPr>
          <w:rFonts w:ascii="Times New Roman" w:hAnsi="Times New Roman"/>
          <w:sz w:val="24"/>
          <w:szCs w:val="24"/>
        </w:rPr>
        <w:t xml:space="preserve"> a beavatkozói állomány elméleti és gyakorlati tudását</w:t>
      </w:r>
      <w:r>
        <w:rPr>
          <w:rFonts w:ascii="Times New Roman" w:hAnsi="Times New Roman"/>
          <w:sz w:val="24"/>
          <w:szCs w:val="24"/>
        </w:rPr>
        <w:t>,</w:t>
      </w:r>
    </w:p>
    <w:p w14:paraId="502860E4" w14:textId="3104E531" w:rsidR="004D79DB" w:rsidRPr="00511CEF" w:rsidRDefault="004D79DB" w:rsidP="00511CE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A1B99">
        <w:rPr>
          <w:rFonts w:ascii="Times New Roman" w:hAnsi="Times New Roman"/>
          <w:sz w:val="24"/>
          <w:szCs w:val="24"/>
        </w:rPr>
        <w:t xml:space="preserve"> </w:t>
      </w:r>
      <w:r w:rsidRPr="004D79DB">
        <w:rPr>
          <w:rFonts w:ascii="Times New Roman" w:hAnsi="Times New Roman"/>
          <w:sz w:val="24"/>
          <w:szCs w:val="24"/>
        </w:rPr>
        <w:t xml:space="preserve">megelőző munka </w:t>
      </w:r>
      <w:r w:rsidR="00D0774E">
        <w:rPr>
          <w:rFonts w:ascii="Times New Roman" w:hAnsi="Times New Roman"/>
          <w:sz w:val="24"/>
          <w:szCs w:val="24"/>
        </w:rPr>
        <w:t>eredményének köszönhetően fokozni</w:t>
      </w:r>
      <w:r w:rsidRPr="004D79DB">
        <w:rPr>
          <w:rFonts w:ascii="Times New Roman" w:hAnsi="Times New Roman"/>
          <w:sz w:val="24"/>
          <w:szCs w:val="24"/>
        </w:rPr>
        <w:t xml:space="preserve"> a hatósági tevékenységünket a </w:t>
      </w:r>
      <w:r w:rsidR="00D0774E">
        <w:rPr>
          <w:rFonts w:ascii="Times New Roman" w:hAnsi="Times New Roman"/>
          <w:sz w:val="24"/>
          <w:szCs w:val="24"/>
        </w:rPr>
        <w:t xml:space="preserve">prevenció </w:t>
      </w:r>
      <w:r w:rsidRPr="004D79DB">
        <w:rPr>
          <w:rFonts w:ascii="Times New Roman" w:hAnsi="Times New Roman"/>
          <w:sz w:val="24"/>
          <w:szCs w:val="24"/>
        </w:rPr>
        <w:t>céljából</w:t>
      </w:r>
      <w:r>
        <w:rPr>
          <w:rFonts w:ascii="Times New Roman" w:hAnsi="Times New Roman"/>
          <w:sz w:val="24"/>
          <w:szCs w:val="24"/>
        </w:rPr>
        <w:t>,</w:t>
      </w:r>
      <w:r w:rsidRPr="004D79DB">
        <w:rPr>
          <w:rFonts w:ascii="Times New Roman" w:hAnsi="Times New Roman"/>
          <w:sz w:val="24"/>
          <w:szCs w:val="24"/>
        </w:rPr>
        <w:t xml:space="preserve"> különösen a </w:t>
      </w:r>
      <w:r w:rsidR="00511CEF">
        <w:rPr>
          <w:rFonts w:ascii="Times New Roman" w:hAnsi="Times New Roman"/>
          <w:sz w:val="24"/>
          <w:szCs w:val="24"/>
        </w:rPr>
        <w:t>szabad területi tűzesetek által veszélyeztetett területeken</w:t>
      </w:r>
      <w:r w:rsidR="002A1B99" w:rsidRPr="00511CEF">
        <w:rPr>
          <w:rFonts w:ascii="Times New Roman" w:hAnsi="Times New Roman"/>
          <w:sz w:val="24"/>
          <w:szCs w:val="24"/>
        </w:rPr>
        <w:t>,</w:t>
      </w:r>
    </w:p>
    <w:p w14:paraId="5F864FD6" w14:textId="618CC676" w:rsidR="004D79DB" w:rsidRPr="00C01F5D" w:rsidRDefault="002A1B99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D79DB" w:rsidRPr="00070C1D">
        <w:rPr>
          <w:rFonts w:ascii="Times New Roman" w:hAnsi="Times New Roman"/>
          <w:sz w:val="24"/>
          <w:szCs w:val="24"/>
        </w:rPr>
        <w:t xml:space="preserve">hatósági </w:t>
      </w:r>
      <w:r w:rsidR="004D79DB">
        <w:rPr>
          <w:rFonts w:ascii="Times New Roman" w:hAnsi="Times New Roman"/>
          <w:sz w:val="24"/>
          <w:szCs w:val="24"/>
        </w:rPr>
        <w:t xml:space="preserve">szakterület közreműködésével </w:t>
      </w:r>
      <w:r w:rsidR="004D79DB" w:rsidRPr="00070C1D">
        <w:rPr>
          <w:rFonts w:ascii="Times New Roman" w:hAnsi="Times New Roman"/>
          <w:sz w:val="24"/>
          <w:szCs w:val="24"/>
        </w:rPr>
        <w:t>a működési te</w:t>
      </w:r>
      <w:r w:rsidR="004D79DB">
        <w:rPr>
          <w:rFonts w:ascii="Times New Roman" w:hAnsi="Times New Roman"/>
          <w:sz w:val="24"/>
          <w:szCs w:val="24"/>
        </w:rPr>
        <w:t xml:space="preserve">rületen </w:t>
      </w:r>
      <w:r w:rsidR="004D79DB" w:rsidRPr="00C01F5D">
        <w:rPr>
          <w:rFonts w:ascii="Times New Roman" w:hAnsi="Times New Roman"/>
          <w:sz w:val="24"/>
          <w:szCs w:val="24"/>
        </w:rPr>
        <w:t>lévő közintézményekben</w:t>
      </w:r>
      <w:r w:rsidR="0022402A">
        <w:rPr>
          <w:rFonts w:ascii="Times New Roman" w:hAnsi="Times New Roman"/>
          <w:sz w:val="24"/>
          <w:szCs w:val="24"/>
        </w:rPr>
        <w:t>,</w:t>
      </w:r>
      <w:r w:rsidR="004D79DB" w:rsidRPr="00C01F5D">
        <w:rPr>
          <w:rFonts w:ascii="Times New Roman" w:hAnsi="Times New Roman"/>
          <w:sz w:val="24"/>
          <w:szCs w:val="24"/>
        </w:rPr>
        <w:t xml:space="preserve"> valamint rendezvényeinken történő prevenciós munk</w:t>
      </w:r>
      <w:r>
        <w:rPr>
          <w:rFonts w:ascii="Times New Roman" w:hAnsi="Times New Roman"/>
          <w:sz w:val="24"/>
          <w:szCs w:val="24"/>
        </w:rPr>
        <w:t>a erősítése</w:t>
      </w:r>
      <w:r w:rsidR="004D79DB" w:rsidRPr="00C01F5D">
        <w:rPr>
          <w:rFonts w:ascii="Times New Roman" w:hAnsi="Times New Roman"/>
          <w:sz w:val="24"/>
          <w:szCs w:val="24"/>
        </w:rPr>
        <w:t xml:space="preserve">, a tudatos tűzvédelmi gondolkodás erősítése, </w:t>
      </w:r>
    </w:p>
    <w:p w14:paraId="404BB05B" w14:textId="35BD0C7A" w:rsidR="00C9414C" w:rsidRDefault="00245992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</w:t>
      </w:r>
      <w:r w:rsidR="00C9414C">
        <w:rPr>
          <w:rFonts w:ascii="Times New Roman" w:hAnsi="Times New Roman"/>
          <w:sz w:val="24"/>
          <w:szCs w:val="24"/>
        </w:rPr>
        <w:t xml:space="preserve">nkéntes </w:t>
      </w:r>
      <w:r>
        <w:rPr>
          <w:rFonts w:ascii="Times New Roman" w:hAnsi="Times New Roman"/>
          <w:sz w:val="24"/>
          <w:szCs w:val="24"/>
        </w:rPr>
        <w:t>t</w:t>
      </w:r>
      <w:r w:rsidR="00C9414C">
        <w:rPr>
          <w:rFonts w:ascii="Times New Roman" w:hAnsi="Times New Roman"/>
          <w:sz w:val="24"/>
          <w:szCs w:val="24"/>
        </w:rPr>
        <w:t xml:space="preserve">űzoltó </w:t>
      </w:r>
      <w:r>
        <w:rPr>
          <w:rFonts w:ascii="Times New Roman" w:hAnsi="Times New Roman"/>
          <w:sz w:val="24"/>
          <w:szCs w:val="24"/>
        </w:rPr>
        <w:t>egyesülete</w:t>
      </w:r>
      <w:r w:rsidR="00C941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„önállóan beavatkozó” státuszának </w:t>
      </w:r>
      <w:r w:rsidR="00FE5D0B">
        <w:rPr>
          <w:rFonts w:ascii="Times New Roman" w:hAnsi="Times New Roman"/>
          <w:sz w:val="24"/>
          <w:szCs w:val="24"/>
        </w:rPr>
        <w:t>elősegítése</w:t>
      </w:r>
      <w:r>
        <w:rPr>
          <w:rFonts w:ascii="Times New Roman" w:hAnsi="Times New Roman"/>
          <w:sz w:val="24"/>
          <w:szCs w:val="24"/>
        </w:rPr>
        <w:t>,</w:t>
      </w:r>
    </w:p>
    <w:p w14:paraId="5D39F952" w14:textId="77777777" w:rsidR="004D79DB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70C1D">
        <w:rPr>
          <w:rFonts w:ascii="Times New Roman" w:hAnsi="Times New Roman"/>
          <w:sz w:val="24"/>
          <w:szCs w:val="24"/>
        </w:rPr>
        <w:t>működési terület tűzbiztonságának növelése érdekében</w:t>
      </w:r>
      <w:r>
        <w:rPr>
          <w:rFonts w:ascii="Times New Roman" w:hAnsi="Times New Roman"/>
          <w:sz w:val="24"/>
          <w:szCs w:val="24"/>
        </w:rPr>
        <w:t>,</w:t>
      </w:r>
      <w:r w:rsidRPr="00070C1D">
        <w:rPr>
          <w:rFonts w:ascii="Times New Roman" w:hAnsi="Times New Roman"/>
          <w:sz w:val="24"/>
          <w:szCs w:val="24"/>
        </w:rPr>
        <w:t xml:space="preserve"> növelni kívánjuk a létesítmények technológiáját, tűzvédelmi helyzetét megismertet</w:t>
      </w:r>
      <w:r>
        <w:rPr>
          <w:rFonts w:ascii="Times New Roman" w:hAnsi="Times New Roman"/>
          <w:sz w:val="24"/>
          <w:szCs w:val="24"/>
        </w:rPr>
        <w:t xml:space="preserve">ő gyakorlatok végrehajtását, </w:t>
      </w:r>
    </w:p>
    <w:p w14:paraId="141EA5E5" w14:textId="77777777" w:rsidR="004D79DB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70C1D">
        <w:rPr>
          <w:rFonts w:ascii="Times New Roman" w:hAnsi="Times New Roman"/>
          <w:sz w:val="24"/>
          <w:szCs w:val="24"/>
        </w:rPr>
        <w:t>olytatni kívánjuk a technikai eszközök fejlesztésére, a szolgálati elhelyezés körülménye</w:t>
      </w:r>
      <w:r>
        <w:rPr>
          <w:rFonts w:ascii="Times New Roman" w:hAnsi="Times New Roman"/>
          <w:sz w:val="24"/>
          <w:szCs w:val="24"/>
        </w:rPr>
        <w:t xml:space="preserve">inek javítására irányuló munkát, </w:t>
      </w:r>
    </w:p>
    <w:p w14:paraId="76CEF344" w14:textId="06E6ABB3" w:rsidR="004D79DB" w:rsidRPr="00C01F5D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70C1D">
        <w:rPr>
          <w:rFonts w:ascii="Times New Roman" w:hAnsi="Times New Roman"/>
          <w:sz w:val="24"/>
          <w:szCs w:val="24"/>
        </w:rPr>
        <w:t>z ifjúság körében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F5D">
        <w:rPr>
          <w:rFonts w:ascii="Times New Roman" w:hAnsi="Times New Roman"/>
          <w:sz w:val="24"/>
          <w:szCs w:val="24"/>
        </w:rPr>
        <w:t>bemutatókkal</w:t>
      </w:r>
      <w:r w:rsidR="00D0774E">
        <w:rPr>
          <w:rFonts w:ascii="Times New Roman" w:hAnsi="Times New Roman"/>
          <w:sz w:val="24"/>
          <w:szCs w:val="24"/>
        </w:rPr>
        <w:t>,</w:t>
      </w:r>
      <w:r w:rsidRPr="00C01F5D">
        <w:rPr>
          <w:rFonts w:ascii="Times New Roman" w:hAnsi="Times New Roman"/>
          <w:sz w:val="24"/>
          <w:szCs w:val="24"/>
        </w:rPr>
        <w:t xml:space="preserve"> valamint gyakorlatokba történő bevonásukkal </w:t>
      </w:r>
      <w:r w:rsidR="00D0774E">
        <w:rPr>
          <w:rFonts w:ascii="Times New Roman" w:hAnsi="Times New Roman"/>
          <w:sz w:val="24"/>
          <w:szCs w:val="24"/>
        </w:rPr>
        <w:t>törek</w:t>
      </w:r>
      <w:r w:rsidRPr="00C01F5D">
        <w:rPr>
          <w:rFonts w:ascii="Times New Roman" w:hAnsi="Times New Roman"/>
          <w:sz w:val="24"/>
          <w:szCs w:val="24"/>
        </w:rPr>
        <w:t xml:space="preserve">szünk a tűzoltó szakma által nyújtott szemléletet átadni, </w:t>
      </w:r>
    </w:p>
    <w:p w14:paraId="7C5776EE" w14:textId="01C7DA25" w:rsidR="004D79DB" w:rsidRDefault="004D79DB" w:rsidP="004D79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F5D">
        <w:rPr>
          <w:rFonts w:ascii="Times New Roman" w:hAnsi="Times New Roman"/>
          <w:sz w:val="24"/>
          <w:szCs w:val="24"/>
        </w:rPr>
        <w:t>az állo</w:t>
      </w:r>
      <w:r w:rsidR="002A1B99">
        <w:rPr>
          <w:rFonts w:ascii="Times New Roman" w:hAnsi="Times New Roman"/>
          <w:sz w:val="24"/>
          <w:szCs w:val="24"/>
        </w:rPr>
        <w:t xml:space="preserve">mány megtartása, egészségügyi, </w:t>
      </w:r>
      <w:r w:rsidRPr="00C01F5D">
        <w:rPr>
          <w:rFonts w:ascii="Times New Roman" w:hAnsi="Times New Roman"/>
          <w:sz w:val="24"/>
          <w:szCs w:val="24"/>
        </w:rPr>
        <w:t>fizikai állapotának</w:t>
      </w:r>
      <w:r>
        <w:rPr>
          <w:rFonts w:ascii="Times New Roman" w:hAnsi="Times New Roman"/>
          <w:sz w:val="24"/>
          <w:szCs w:val="24"/>
        </w:rPr>
        <w:t xml:space="preserve"> megőrzése</w:t>
      </w:r>
      <w:r w:rsidR="002240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30746E" w14:textId="46D55E80" w:rsidR="0085540F" w:rsidRPr="00D0774E" w:rsidRDefault="004D79DB" w:rsidP="00511CEF">
      <w:pPr>
        <w:numPr>
          <w:ilvl w:val="0"/>
          <w:numId w:val="25"/>
        </w:numPr>
        <w:tabs>
          <w:tab w:val="left" w:pos="360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79DB">
        <w:rPr>
          <w:rFonts w:ascii="Times New Roman" w:hAnsi="Times New Roman"/>
          <w:sz w:val="24"/>
          <w:szCs w:val="24"/>
          <w:shd w:val="clear" w:color="auto" w:fill="FFFFFF"/>
        </w:rPr>
        <w:t>az állampolgárok szélesebb körű tájékoztatása, hogy megelőz</w:t>
      </w:r>
      <w:r>
        <w:rPr>
          <w:rFonts w:ascii="Times New Roman" w:hAnsi="Times New Roman"/>
          <w:sz w:val="24"/>
          <w:szCs w:val="24"/>
          <w:shd w:val="clear" w:color="auto" w:fill="FFFFFF"/>
        </w:rPr>
        <w:t>zük a tűzeseti haláleseteket, a</w:t>
      </w:r>
      <w:r w:rsidRPr="004D79DB">
        <w:rPr>
          <w:rFonts w:ascii="Times New Roman" w:hAnsi="Times New Roman"/>
          <w:sz w:val="24"/>
          <w:szCs w:val="24"/>
          <w:shd w:val="clear" w:color="auto" w:fill="FFFFFF"/>
        </w:rPr>
        <w:t xml:space="preserve"> CO mérgezéseket, a kéménytüzeket, valamin</w:t>
      </w:r>
      <w:r>
        <w:rPr>
          <w:rFonts w:ascii="Times New Roman" w:hAnsi="Times New Roman"/>
          <w:sz w:val="24"/>
          <w:szCs w:val="24"/>
          <w:shd w:val="clear" w:color="auto" w:fill="FFFFFF"/>
        </w:rPr>
        <w:t>t a szabad területek tűzeseteit</w:t>
      </w:r>
      <w:r w:rsidR="00C9735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8FF3A21" w14:textId="77777777" w:rsidR="00D54C71" w:rsidRPr="00BE4226" w:rsidRDefault="00D54C71" w:rsidP="0085540F">
      <w:pPr>
        <w:tabs>
          <w:tab w:val="left" w:pos="360"/>
        </w:tabs>
        <w:spacing w:after="160" w:line="259" w:lineRule="auto"/>
        <w:ind w:left="720"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E640F5" w14:textId="07655FD0" w:rsidR="00BE4226" w:rsidRPr="00245992" w:rsidRDefault="00BE4226" w:rsidP="00BE4226">
      <w:pPr>
        <w:tabs>
          <w:tab w:val="left" w:pos="360"/>
        </w:tabs>
        <w:spacing w:after="160" w:line="259" w:lineRule="auto"/>
        <w:ind w:left="720"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Melléklet</w:t>
      </w:r>
    </w:p>
    <w:p w14:paraId="767B4884" w14:textId="6E1983E8" w:rsidR="00BE4226" w:rsidRDefault="00595EF4" w:rsidP="00595EF4">
      <w:pPr>
        <w:pStyle w:val="Listaszerbekezds"/>
        <w:jc w:val="center"/>
      </w:pPr>
      <w:r>
        <w:rPr>
          <w:noProof/>
        </w:rPr>
        <w:drawing>
          <wp:inline distT="0" distB="0" distL="0" distR="0" wp14:anchorId="589AA652" wp14:editId="480E0CAB">
            <wp:extent cx="4603376" cy="3795483"/>
            <wp:effectExtent l="0" t="0" r="6985" b="1460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91E24D" w14:textId="224C0FAE" w:rsidR="0085540F" w:rsidRDefault="00BE4226" w:rsidP="00595EF4">
      <w:pPr>
        <w:pStyle w:val="Listaszerbekezds"/>
        <w:jc w:val="center"/>
      </w:pPr>
      <w:r>
        <w:t>1</w:t>
      </w:r>
      <w:r w:rsidR="00195A34">
        <w:t>.</w:t>
      </w:r>
      <w:r>
        <w:t xml:space="preserve"> számú ábra</w:t>
      </w:r>
    </w:p>
    <w:p w14:paraId="5E9DE59A" w14:textId="77777777" w:rsidR="0085540F" w:rsidRDefault="0085540F" w:rsidP="00595EF4">
      <w:pPr>
        <w:pStyle w:val="Listaszerbekezds"/>
        <w:jc w:val="center"/>
      </w:pPr>
    </w:p>
    <w:p w14:paraId="79C9D043" w14:textId="543C245E" w:rsidR="006B3F5E" w:rsidRDefault="0085540F" w:rsidP="00195A34">
      <w:pPr>
        <w:pStyle w:val="Listaszerbekezds"/>
        <w:jc w:val="center"/>
      </w:pPr>
      <w:r>
        <w:rPr>
          <w:noProof/>
        </w:rPr>
        <w:lastRenderedPageBreak/>
        <w:drawing>
          <wp:inline distT="0" distB="0" distL="0" distR="0" wp14:anchorId="51870329" wp14:editId="43910A58">
            <wp:extent cx="5514340" cy="4324350"/>
            <wp:effectExtent l="0" t="0" r="1016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196722" w14:textId="75FCAC44" w:rsidR="00BE4226" w:rsidRDefault="00BE4226" w:rsidP="00595EF4">
      <w:pPr>
        <w:tabs>
          <w:tab w:val="left" w:pos="6888"/>
        </w:tabs>
        <w:jc w:val="center"/>
        <w:rPr>
          <w:lang w:eastAsia="hu-HU"/>
        </w:rPr>
      </w:pPr>
      <w:r>
        <w:rPr>
          <w:lang w:eastAsia="hu-HU"/>
        </w:rPr>
        <w:t>2. számú ábra</w:t>
      </w:r>
    </w:p>
    <w:p w14:paraId="04966284" w14:textId="77777777" w:rsidR="00BE4226" w:rsidRDefault="00BE4226" w:rsidP="00595EF4">
      <w:pPr>
        <w:tabs>
          <w:tab w:val="left" w:pos="6888"/>
        </w:tabs>
        <w:jc w:val="center"/>
        <w:rPr>
          <w:lang w:eastAsia="hu-HU"/>
        </w:rPr>
      </w:pPr>
    </w:p>
    <w:p w14:paraId="2D5AE3E1" w14:textId="2906D25A" w:rsidR="00595EF4" w:rsidRDefault="006B3F5E" w:rsidP="00595EF4">
      <w:pPr>
        <w:spacing w:line="24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p w14:paraId="6A7E36C2" w14:textId="77777777" w:rsidR="0085540F" w:rsidRDefault="0085540F" w:rsidP="00595EF4">
      <w:pPr>
        <w:spacing w:line="240" w:lineRule="auto"/>
        <w:jc w:val="center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CCCF326" wp14:editId="7D98CD52">
            <wp:extent cx="5429250" cy="48768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C74396" w14:textId="0707AD50" w:rsidR="00BE4226" w:rsidRDefault="00BE4226" w:rsidP="00595EF4">
      <w:pPr>
        <w:spacing w:line="240" w:lineRule="auto"/>
        <w:jc w:val="center"/>
        <w:rPr>
          <w:lang w:eastAsia="hu-HU"/>
        </w:rPr>
      </w:pPr>
      <w:r>
        <w:rPr>
          <w:lang w:eastAsia="hu-HU"/>
        </w:rPr>
        <w:t>3. számú ábra</w:t>
      </w:r>
    </w:p>
    <w:p w14:paraId="065EA961" w14:textId="12E4F15A" w:rsidR="006B3F5E" w:rsidRDefault="00595EF4" w:rsidP="00595EF4">
      <w:pPr>
        <w:spacing w:line="240" w:lineRule="auto"/>
        <w:jc w:val="center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A98FAD8" wp14:editId="52DC4F55">
            <wp:extent cx="5760720" cy="4391025"/>
            <wp:effectExtent l="0" t="0" r="11430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D0D5E7" w14:textId="00F15219" w:rsidR="00BE4226" w:rsidRDefault="00BE4226" w:rsidP="00595EF4">
      <w:pPr>
        <w:spacing w:line="240" w:lineRule="auto"/>
        <w:jc w:val="center"/>
        <w:rPr>
          <w:lang w:eastAsia="hu-HU"/>
        </w:rPr>
      </w:pPr>
      <w:r>
        <w:rPr>
          <w:lang w:eastAsia="hu-HU"/>
        </w:rPr>
        <w:t>4. számú ábra</w:t>
      </w:r>
    </w:p>
    <w:p w14:paraId="6B124410" w14:textId="77777777" w:rsidR="002A1B99" w:rsidRDefault="002A1B99" w:rsidP="00595EF4">
      <w:pPr>
        <w:spacing w:line="240" w:lineRule="auto"/>
        <w:jc w:val="center"/>
        <w:rPr>
          <w:lang w:eastAsia="hu-HU"/>
        </w:rPr>
      </w:pPr>
    </w:p>
    <w:p w14:paraId="36CA191E" w14:textId="77777777" w:rsidR="002A1B99" w:rsidRDefault="002A1B99" w:rsidP="00595EF4">
      <w:pPr>
        <w:spacing w:line="240" w:lineRule="auto"/>
        <w:jc w:val="center"/>
        <w:rPr>
          <w:lang w:eastAsia="hu-HU"/>
        </w:rPr>
      </w:pPr>
    </w:p>
    <w:p w14:paraId="72E08274" w14:textId="70182CD2" w:rsidR="006B3F5E" w:rsidRPr="00BF7BA6" w:rsidRDefault="00BF7BA6" w:rsidP="002A1B99">
      <w:pPr>
        <w:tabs>
          <w:tab w:val="left" w:pos="6888"/>
        </w:tabs>
        <w:spacing w:before="240"/>
        <w:jc w:val="center"/>
        <w:rPr>
          <w:b/>
          <w:lang w:eastAsia="hu-HU"/>
        </w:rPr>
      </w:pPr>
      <w:r w:rsidRPr="00BF7BA6">
        <w:rPr>
          <w:b/>
          <w:lang w:eastAsia="hu-HU"/>
        </w:rPr>
        <w:t>2023. év országos riasztási adatok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005"/>
        <w:gridCol w:w="1405"/>
        <w:gridCol w:w="1056"/>
        <w:gridCol w:w="1354"/>
        <w:gridCol w:w="931"/>
        <w:gridCol w:w="1337"/>
        <w:gridCol w:w="1134"/>
      </w:tblGrid>
      <w:tr w:rsidR="00595EF4" w:rsidRPr="00595EF4" w14:paraId="7A6FBA19" w14:textId="77777777" w:rsidTr="0084327A">
        <w:trPr>
          <w:trHeight w:val="1365"/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99FF"/>
            <w:vAlign w:val="center"/>
            <w:hideMark/>
          </w:tcPr>
          <w:p w14:paraId="6CD0DB4A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3399FF"/>
            <w:vAlign w:val="center"/>
            <w:hideMark/>
          </w:tcPr>
          <w:p w14:paraId="2379A4AA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jelzés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99FF"/>
            <w:vAlign w:val="center"/>
            <w:hideMark/>
          </w:tcPr>
          <w:p w14:paraId="0CAECE20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Kategóriához tartózó érték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3399FF"/>
            <w:vAlign w:val="center"/>
            <w:hideMark/>
          </w:tcPr>
          <w:p w14:paraId="2926563A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Beavatkozást igénylő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99FF"/>
            <w:vAlign w:val="center"/>
            <w:hideMark/>
          </w:tcPr>
          <w:p w14:paraId="3EC6B62D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Kategóriához tartózó érték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3399FF"/>
            <w:vAlign w:val="center"/>
            <w:hideMark/>
          </w:tcPr>
          <w:p w14:paraId="6847C4A5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Kiérkezés előtt felszámolt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99FF"/>
            <w:vAlign w:val="center"/>
            <w:hideMark/>
          </w:tcPr>
          <w:p w14:paraId="244FE827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Kategóriához tartózó érték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3399FF"/>
            <w:vAlign w:val="center"/>
            <w:hideMark/>
          </w:tcPr>
          <w:p w14:paraId="2889DD76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Téves jelzés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3399FF"/>
            <w:vAlign w:val="center"/>
            <w:hideMark/>
          </w:tcPr>
          <w:p w14:paraId="4C01C1AC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Kategóriához tartózó érték</w:t>
            </w:r>
          </w:p>
        </w:tc>
      </w:tr>
      <w:tr w:rsidR="00595EF4" w:rsidRPr="00595EF4" w14:paraId="0BFD702C" w14:textId="77777777" w:rsidTr="0084327A">
        <w:trPr>
          <w:trHeight w:val="3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51F39C86" w14:textId="77777777" w:rsidR="00595EF4" w:rsidRPr="00532A22" w:rsidRDefault="00595EF4" w:rsidP="0084327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4"/>
                <w:lang w:eastAsia="hu-HU"/>
              </w:rPr>
            </w:pPr>
            <w:r w:rsidRPr="00532A22">
              <w:rPr>
                <w:rFonts w:eastAsia="Times New Roman" w:cs="Calibri"/>
                <w:b/>
                <w:color w:val="FF0000"/>
                <w:sz w:val="24"/>
                <w:lang w:eastAsia="hu-H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C89AF9" w14:textId="7BC20772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FEDF136" w14:textId="00DEBB3F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4B8BA5" w14:textId="43C893E6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B39097D" w14:textId="208C5C95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2DE45E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Érd HT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299EA99D" w14:textId="77777777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134</w:t>
            </w:r>
          </w:p>
        </w:tc>
        <w:tc>
          <w:tcPr>
            <w:tcW w:w="133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6DDC01B" w14:textId="0F28B0E5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41F9E01" w14:textId="5DA49D05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595EF4" w:rsidRPr="00595EF4" w14:paraId="0822CFFC" w14:textId="77777777" w:rsidTr="0084327A">
        <w:trPr>
          <w:trHeight w:val="2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14C4F95D" w14:textId="77777777" w:rsidR="00595EF4" w:rsidRPr="00532A22" w:rsidRDefault="00595EF4" w:rsidP="0084327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4"/>
                <w:lang w:eastAsia="hu-HU"/>
              </w:rPr>
            </w:pPr>
            <w:r w:rsidRPr="00532A22">
              <w:rPr>
                <w:rFonts w:eastAsia="Times New Roman" w:cs="Calibri"/>
                <w:b/>
                <w:color w:val="FF0000"/>
                <w:sz w:val="24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9F3329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Érd 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6D7A8595" w14:textId="77777777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1513</w:t>
            </w:r>
          </w:p>
        </w:tc>
        <w:tc>
          <w:tcPr>
            <w:tcW w:w="140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0638F3B" w14:textId="65A207FF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67A85B3" w14:textId="2F8392C3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56817DE" w14:textId="2E5289F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5687271" w14:textId="44272F68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2FB4E3D" w14:textId="386CE202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DF5574C" w14:textId="27170022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</w:tr>
      <w:tr w:rsidR="00595EF4" w:rsidRPr="00595EF4" w14:paraId="04A32D97" w14:textId="77777777" w:rsidTr="0084327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3A91B410" w14:textId="77777777" w:rsidR="00595EF4" w:rsidRPr="00532A22" w:rsidRDefault="00595EF4" w:rsidP="0084327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4"/>
                <w:lang w:eastAsia="hu-HU"/>
              </w:rPr>
            </w:pPr>
            <w:r w:rsidRPr="00532A22">
              <w:rPr>
                <w:rFonts w:eastAsia="Times New Roman" w:cs="Calibri"/>
                <w:b/>
                <w:color w:val="FF0000"/>
                <w:sz w:val="24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B5A887" w14:textId="6A8F88E8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E0EE6F0" w14:textId="35E34309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BE38E3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Érd HT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58995A0B" w14:textId="77777777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897</w:t>
            </w:r>
          </w:p>
        </w:tc>
        <w:tc>
          <w:tcPr>
            <w:tcW w:w="135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204253" w14:textId="39315DAB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69D13F7" w14:textId="1419B494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</w:p>
        </w:tc>
        <w:tc>
          <w:tcPr>
            <w:tcW w:w="133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13ABD8" w14:textId="77777777" w:rsidR="00595EF4" w:rsidRPr="00595EF4" w:rsidRDefault="00595EF4" w:rsidP="00595E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Érd 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B45164" w14:textId="77777777" w:rsidR="00595EF4" w:rsidRPr="00595EF4" w:rsidRDefault="00595EF4" w:rsidP="00595E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595EF4">
              <w:rPr>
                <w:rFonts w:ascii="Tahoma" w:eastAsia="Times New Roman" w:hAnsi="Tahoma" w:cs="Tahoma"/>
                <w:color w:val="000000"/>
                <w:lang w:eastAsia="hu-HU"/>
              </w:rPr>
              <w:t>480</w:t>
            </w:r>
          </w:p>
        </w:tc>
      </w:tr>
    </w:tbl>
    <w:p w14:paraId="753E0DF4" w14:textId="4CA2144B" w:rsidR="00BF7BA6" w:rsidRDefault="00BE4226" w:rsidP="00BE4226">
      <w:pPr>
        <w:spacing w:after="0" w:line="240" w:lineRule="auto"/>
        <w:jc w:val="center"/>
        <w:rPr>
          <w:lang w:eastAsia="hu-HU"/>
        </w:rPr>
      </w:pPr>
      <w:r>
        <w:rPr>
          <w:lang w:eastAsia="hu-HU"/>
        </w:rPr>
        <w:t>5. számú ábra</w:t>
      </w:r>
    </w:p>
    <w:p w14:paraId="71504765" w14:textId="2FCFE487" w:rsidR="00B5392B" w:rsidRDefault="00B5392B">
      <w:pPr>
        <w:spacing w:after="0" w:line="240" w:lineRule="auto"/>
        <w:rPr>
          <w:lang w:eastAsia="hu-HU"/>
        </w:rPr>
      </w:pPr>
      <w:r>
        <w:rPr>
          <w:lang w:eastAsia="hu-HU"/>
        </w:rPr>
        <w:br w:type="page"/>
      </w:r>
    </w:p>
    <w:p w14:paraId="557EEC2E" w14:textId="77777777" w:rsidR="00B5392B" w:rsidRDefault="00B5392B" w:rsidP="00BE4226">
      <w:pPr>
        <w:spacing w:after="0" w:line="240" w:lineRule="auto"/>
        <w:jc w:val="center"/>
        <w:rPr>
          <w:lang w:eastAsia="hu-HU"/>
        </w:rPr>
      </w:pPr>
    </w:p>
    <w:p w14:paraId="6A7C6C52" w14:textId="3B8CDEB3" w:rsidR="00BF7BA6" w:rsidRPr="00543F99" w:rsidRDefault="004E53B1" w:rsidP="00B5392B">
      <w:pPr>
        <w:spacing w:after="0" w:line="240" w:lineRule="auto"/>
        <w:jc w:val="center"/>
        <w:rPr>
          <w:b/>
          <w:lang w:eastAsia="hu-HU"/>
        </w:rPr>
      </w:pPr>
      <w:r>
        <w:rPr>
          <w:b/>
          <w:lang w:eastAsia="hu-HU"/>
        </w:rPr>
        <w:t>Érd HTP b</w:t>
      </w:r>
      <w:r w:rsidR="00543F99" w:rsidRPr="00543F99">
        <w:rPr>
          <w:b/>
          <w:lang w:eastAsia="hu-HU"/>
        </w:rPr>
        <w:t>eavatkozás</w:t>
      </w:r>
      <w:r w:rsidR="00DA394F">
        <w:rPr>
          <w:b/>
          <w:lang w:eastAsia="hu-HU"/>
        </w:rPr>
        <w:t>ainak</w:t>
      </w:r>
      <w:r w:rsidR="00543F99" w:rsidRPr="00543F99">
        <w:rPr>
          <w:b/>
          <w:lang w:eastAsia="hu-HU"/>
        </w:rPr>
        <w:t xml:space="preserve"> száma település szerint</w:t>
      </w:r>
    </w:p>
    <w:p w14:paraId="68AA4379" w14:textId="77777777" w:rsidR="00BF7BA6" w:rsidRDefault="00BF7BA6">
      <w:pPr>
        <w:spacing w:after="0" w:line="240" w:lineRule="auto"/>
        <w:rPr>
          <w:lang w:eastAsia="hu-HU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"/>
        <w:gridCol w:w="475"/>
        <w:gridCol w:w="460"/>
        <w:gridCol w:w="460"/>
        <w:gridCol w:w="475"/>
        <w:gridCol w:w="47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7BA6" w:rsidRPr="00BF7BA6" w14:paraId="46A0932B" w14:textId="77777777" w:rsidTr="00BF7BA6">
        <w:trPr>
          <w:trHeight w:val="18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138BB0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E2AFB7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Baracska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7BAB9D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Biatorbágy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737F59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Budaörs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E966F3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Diósd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1F6E83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Ercsi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DF898E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Érd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ACF112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Etyek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A8E2E9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Gyúró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15ADEE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Herceghalom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BE6085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Kajászó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89BF15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Martonvásár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7470B4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Páty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148EB2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Pusztazámor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B30C52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Ráckeresztúr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EC6E77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Sóskút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56D2C6" w14:textId="6D448EBF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Százha</w:t>
            </w:r>
            <w:r w:rsidR="00151283">
              <w:rPr>
                <w:rFonts w:eastAsia="Times New Roman" w:cs="Calibri"/>
                <w:color w:val="000000"/>
                <w:lang w:eastAsia="hu-HU"/>
              </w:rPr>
              <w:t>l</w:t>
            </w:r>
            <w:r w:rsidRPr="00BF7BA6">
              <w:rPr>
                <w:rFonts w:eastAsia="Times New Roman" w:cs="Calibri"/>
                <w:color w:val="000000"/>
                <w:lang w:eastAsia="hu-HU"/>
              </w:rPr>
              <w:t>ombatta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E0E665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Tárnok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F3A342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Tordas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CAEA67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Törökbálint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8F3993" w14:textId="77777777" w:rsidR="00BF7BA6" w:rsidRPr="00BF7BA6" w:rsidRDefault="00BF7BA6" w:rsidP="00BF7BA6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Vál</w:t>
            </w:r>
          </w:p>
        </w:tc>
      </w:tr>
      <w:tr w:rsidR="00BF7BA6" w:rsidRPr="00BF7BA6" w14:paraId="4CF231BF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BF8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40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27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B4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D1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D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0E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7AF2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E4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36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2B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E0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E2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93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BC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08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C9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F7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78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BC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89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</w:tr>
      <w:tr w:rsidR="00BF7BA6" w:rsidRPr="00BF7BA6" w14:paraId="4FFDA0A2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8E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7C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E1E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DA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2A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7C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6B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00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D0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A1F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A4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41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FA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B2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6C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8A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BB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9B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C0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CA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9B5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</w:tr>
      <w:tr w:rsidR="00BF7BA6" w:rsidRPr="00BF7BA6" w14:paraId="64F2F912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CC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32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D3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7B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89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8C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27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B7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AF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5B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7F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E4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FC2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4E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14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95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F17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6A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5E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25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BA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</w:tr>
      <w:tr w:rsidR="00BF7BA6" w:rsidRPr="00BF7BA6" w14:paraId="5815DF32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6B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EB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22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5E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4E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36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71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F5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FB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F2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D9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C6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37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CF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77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F53E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14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0C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C9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CA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AC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</w:tr>
      <w:tr w:rsidR="00BF7BA6" w:rsidRPr="00BF7BA6" w14:paraId="5915C073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3E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C1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15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DF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00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5D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E9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35F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CE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A0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F4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2D5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AA7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822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43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D0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AC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E80C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C0D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D2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EF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</w:tr>
      <w:tr w:rsidR="00BF7BA6" w:rsidRPr="00BF7BA6" w14:paraId="53505164" w14:textId="77777777" w:rsidTr="00BF7BA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34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b/>
                <w:bCs/>
                <w:color w:val="000000"/>
                <w:lang w:eastAsia="hu-HU"/>
              </w:rPr>
              <w:t>2023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889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407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C9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3F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11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47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FD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AAF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276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D2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97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CC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D53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7C1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692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164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590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628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54A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9AB" w14:textId="77777777" w:rsidR="00BF7BA6" w:rsidRPr="00BF7BA6" w:rsidRDefault="00BF7BA6" w:rsidP="00BF7B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F7BA6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</w:tr>
    </w:tbl>
    <w:p w14:paraId="183A237E" w14:textId="65185DAA" w:rsidR="00BF7BA6" w:rsidRDefault="00BE4226" w:rsidP="00BE4226">
      <w:pPr>
        <w:spacing w:after="0" w:line="240" w:lineRule="auto"/>
        <w:jc w:val="center"/>
        <w:rPr>
          <w:lang w:eastAsia="hu-HU"/>
        </w:rPr>
      </w:pPr>
      <w:r>
        <w:rPr>
          <w:lang w:eastAsia="hu-HU"/>
        </w:rPr>
        <w:t>6. számú ábra</w:t>
      </w:r>
    </w:p>
    <w:p w14:paraId="72CE3CD0" w14:textId="77777777" w:rsidR="00BE4226" w:rsidRDefault="00BE4226" w:rsidP="00BE4226">
      <w:pPr>
        <w:spacing w:after="0" w:line="240" w:lineRule="auto"/>
        <w:jc w:val="center"/>
        <w:rPr>
          <w:lang w:eastAsia="hu-HU"/>
        </w:rPr>
      </w:pPr>
    </w:p>
    <w:p w14:paraId="15796E28" w14:textId="4EEA82B4" w:rsidR="00BE4226" w:rsidRDefault="00BE4226" w:rsidP="00BE4226">
      <w:pPr>
        <w:spacing w:after="0" w:line="240" w:lineRule="auto"/>
        <w:jc w:val="center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15A51A6C" wp14:editId="79F34B57">
            <wp:extent cx="3690698" cy="2506313"/>
            <wp:effectExtent l="0" t="0" r="5080" b="8890"/>
            <wp:docPr id="5" name="Diagra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5EE4104-B560-A36B-D6D5-A4FEC30F80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1F9CFC" w14:textId="41756AC2" w:rsidR="00BE4226" w:rsidRPr="006B3F5E" w:rsidRDefault="009555B6" w:rsidP="00BE4226">
      <w:pPr>
        <w:spacing w:after="0" w:line="240" w:lineRule="auto"/>
        <w:jc w:val="center"/>
        <w:rPr>
          <w:lang w:eastAsia="hu-HU"/>
        </w:rPr>
      </w:pPr>
      <w:r>
        <w:rPr>
          <w:lang w:eastAsia="hu-HU"/>
        </w:rPr>
        <w:t>7</w:t>
      </w:r>
      <w:r w:rsidR="00BE4226">
        <w:rPr>
          <w:lang w:eastAsia="hu-HU"/>
        </w:rPr>
        <w:t>. számú ábra</w:t>
      </w:r>
    </w:p>
    <w:p w14:paraId="6E83BCAF" w14:textId="77777777" w:rsidR="00BE4226" w:rsidRDefault="00BE4226" w:rsidP="00BE4226">
      <w:pPr>
        <w:spacing w:after="0" w:line="240" w:lineRule="auto"/>
        <w:jc w:val="center"/>
        <w:rPr>
          <w:lang w:eastAsia="hu-HU"/>
        </w:rPr>
      </w:pPr>
    </w:p>
    <w:p w14:paraId="16D65441" w14:textId="77777777" w:rsidR="00BE4226" w:rsidRDefault="00BE4226" w:rsidP="00BE4226">
      <w:pPr>
        <w:spacing w:after="0" w:line="240" w:lineRule="auto"/>
        <w:jc w:val="center"/>
        <w:rPr>
          <w:lang w:eastAsia="hu-HU"/>
        </w:rPr>
      </w:pPr>
    </w:p>
    <w:p w14:paraId="02325EC2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6169D732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34718524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020D76BF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5991277F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30A51020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47687610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0D8626DF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6E8DF16E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5674008C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3B45D0CE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00682F6E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37F0321A" w14:textId="77777777" w:rsidR="002A1B99" w:rsidRDefault="002A1B99" w:rsidP="00BE4226">
      <w:pPr>
        <w:spacing w:after="0" w:line="240" w:lineRule="auto"/>
        <w:jc w:val="center"/>
        <w:rPr>
          <w:b/>
          <w:lang w:eastAsia="hu-HU"/>
        </w:rPr>
      </w:pPr>
    </w:p>
    <w:p w14:paraId="1A2255C3" w14:textId="60503DA9" w:rsidR="00BF7BA6" w:rsidRDefault="00BF7BA6" w:rsidP="006B3F5E">
      <w:pPr>
        <w:jc w:val="center"/>
        <w:rPr>
          <w:lang w:eastAsia="hu-HU"/>
        </w:rPr>
      </w:pPr>
    </w:p>
    <w:sectPr w:rsidR="00BF7BA6" w:rsidSect="00E45022">
      <w:headerReference w:type="even" r:id="rId13"/>
      <w:footerReference w:type="default" r:id="rId14"/>
      <w:headerReference w:type="first" r:id="rId15"/>
      <w:pgSz w:w="11906" w:h="16838"/>
      <w:pgMar w:top="-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8709" w14:textId="77777777" w:rsidR="009555B6" w:rsidRDefault="009555B6">
      <w:pPr>
        <w:spacing w:after="0" w:line="240" w:lineRule="auto"/>
      </w:pPr>
      <w:r>
        <w:separator/>
      </w:r>
    </w:p>
  </w:endnote>
  <w:endnote w:type="continuationSeparator" w:id="0">
    <w:p w14:paraId="04977402" w14:textId="77777777" w:rsidR="009555B6" w:rsidRDefault="0095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11569"/>
      <w:docPartObj>
        <w:docPartGallery w:val="Page Numbers (Bottom of Page)"/>
        <w:docPartUnique/>
      </w:docPartObj>
    </w:sdtPr>
    <w:sdtEndPr/>
    <w:sdtContent>
      <w:p w14:paraId="0600D387" w14:textId="637BCDFD" w:rsidR="009555B6" w:rsidRDefault="009555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11">
          <w:rPr>
            <w:noProof/>
          </w:rPr>
          <w:t>12</w:t>
        </w:r>
        <w:r>
          <w:fldChar w:fldCharType="end"/>
        </w:r>
      </w:p>
    </w:sdtContent>
  </w:sdt>
  <w:p w14:paraId="3DB8154E" w14:textId="5356AD7F" w:rsidR="009555B6" w:rsidRDefault="009555B6" w:rsidP="00921CE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0723" w14:textId="77777777" w:rsidR="009555B6" w:rsidRDefault="009555B6">
      <w:pPr>
        <w:spacing w:after="0" w:line="240" w:lineRule="auto"/>
      </w:pPr>
      <w:r>
        <w:separator/>
      </w:r>
    </w:p>
  </w:footnote>
  <w:footnote w:type="continuationSeparator" w:id="0">
    <w:p w14:paraId="48718B66" w14:textId="77777777" w:rsidR="009555B6" w:rsidRDefault="0095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B79F" w14:textId="77777777" w:rsidR="009555B6" w:rsidRDefault="009555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352BAC" w14:textId="77777777" w:rsidR="009555B6" w:rsidRDefault="009555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8976" w14:textId="77777777" w:rsidR="009555B6" w:rsidRPr="00AF077B" w:rsidRDefault="009555B6" w:rsidP="004D7397">
    <w:pPr>
      <w:pStyle w:val="lfej"/>
      <w:spacing w:line="240" w:lineRule="atLeast"/>
      <w:jc w:val="center"/>
      <w:rPr>
        <w:szCs w:val="24"/>
      </w:rPr>
    </w:pPr>
    <w:r>
      <w:rPr>
        <w:noProof/>
        <w:szCs w:val="24"/>
      </w:rPr>
      <w:drawing>
        <wp:inline distT="0" distB="0" distL="0" distR="0" wp14:anchorId="27FF393D" wp14:editId="0543A25E">
          <wp:extent cx="5725160" cy="716280"/>
          <wp:effectExtent l="0" t="0" r="8890" b="762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52E04" w14:textId="2B888AD3" w:rsidR="009555B6" w:rsidRPr="00A97EC8" w:rsidRDefault="009555B6" w:rsidP="004D7397">
    <w:pPr>
      <w:pStyle w:val="lfej"/>
      <w:spacing w:line="240" w:lineRule="atLeast"/>
      <w:jc w:val="center"/>
      <w:rPr>
        <w:smallCaps/>
        <w:w w:val="90"/>
        <w:sz w:val="28"/>
        <w:szCs w:val="28"/>
      </w:rPr>
    </w:pPr>
    <w:r w:rsidRPr="00A97EC8">
      <w:rPr>
        <w:smallCaps/>
        <w:w w:val="90"/>
        <w:sz w:val="28"/>
        <w:szCs w:val="28"/>
      </w:rPr>
      <w:t xml:space="preserve">PEST </w:t>
    </w:r>
    <w:r>
      <w:rPr>
        <w:smallCaps/>
        <w:w w:val="90"/>
        <w:sz w:val="28"/>
        <w:szCs w:val="28"/>
      </w:rPr>
      <w:t>VÁRM</w:t>
    </w:r>
    <w:r w:rsidRPr="00A97EC8">
      <w:rPr>
        <w:smallCaps/>
        <w:w w:val="90"/>
        <w:sz w:val="28"/>
        <w:szCs w:val="28"/>
      </w:rPr>
      <w:t>EGYEI KATASZTRÓFAVÉDELMI IGAZGATÓSÁG</w:t>
    </w:r>
  </w:p>
  <w:p w14:paraId="5EB49957" w14:textId="761EAF68" w:rsidR="009555B6" w:rsidRPr="004D7397" w:rsidRDefault="009555B6" w:rsidP="004D7397">
    <w:pPr>
      <w:pStyle w:val="lfej"/>
      <w:spacing w:after="3960" w:line="240" w:lineRule="atLeast"/>
      <w:jc w:val="center"/>
      <w:rPr>
        <w:smallCaps/>
        <w:w w:val="90"/>
        <w:sz w:val="28"/>
        <w:szCs w:val="28"/>
      </w:rPr>
    </w:pPr>
    <w:r w:rsidRPr="00A97EC8">
      <w:rPr>
        <w:smallCaps/>
        <w:w w:val="90"/>
        <w:sz w:val="28"/>
        <w:szCs w:val="28"/>
      </w:rPr>
      <w:t>ÉRD KATASZTRÓFAVÉDELMI KIRENDELTSÉG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724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6A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9C2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064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FC3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07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88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C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34F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0CF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0D43"/>
    <w:multiLevelType w:val="hybridMultilevel"/>
    <w:tmpl w:val="9490CAB0"/>
    <w:lvl w:ilvl="0" w:tplc="28E64E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861E5"/>
    <w:multiLevelType w:val="hybridMultilevel"/>
    <w:tmpl w:val="69D440AA"/>
    <w:lvl w:ilvl="0" w:tplc="D0282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65EC2"/>
    <w:multiLevelType w:val="hybridMultilevel"/>
    <w:tmpl w:val="67CEA734"/>
    <w:lvl w:ilvl="0" w:tplc="F7DEC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43E92"/>
    <w:multiLevelType w:val="hybridMultilevel"/>
    <w:tmpl w:val="5F12CDB6"/>
    <w:lvl w:ilvl="0" w:tplc="31E21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3EC4"/>
    <w:multiLevelType w:val="hybridMultilevel"/>
    <w:tmpl w:val="489E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56DFB"/>
    <w:multiLevelType w:val="hybridMultilevel"/>
    <w:tmpl w:val="2D36FB70"/>
    <w:lvl w:ilvl="0" w:tplc="B488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BE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83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E2F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0C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0A1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44A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0E4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73197D"/>
    <w:multiLevelType w:val="hybridMultilevel"/>
    <w:tmpl w:val="7116D45A"/>
    <w:lvl w:ilvl="0" w:tplc="DCBE1A06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253223C5"/>
    <w:multiLevelType w:val="hybridMultilevel"/>
    <w:tmpl w:val="D8A03004"/>
    <w:lvl w:ilvl="0" w:tplc="53A6A2E0">
      <w:start w:val="2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 w15:restartNumberingAfterBreak="0">
    <w:nsid w:val="30AD29EE"/>
    <w:multiLevelType w:val="hybridMultilevel"/>
    <w:tmpl w:val="E4E01998"/>
    <w:lvl w:ilvl="0" w:tplc="45F676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D1EC8"/>
    <w:multiLevelType w:val="hybridMultilevel"/>
    <w:tmpl w:val="F93C1480"/>
    <w:lvl w:ilvl="0" w:tplc="1C48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D67B0"/>
    <w:multiLevelType w:val="hybridMultilevel"/>
    <w:tmpl w:val="32648F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63B57"/>
    <w:multiLevelType w:val="hybridMultilevel"/>
    <w:tmpl w:val="ABEAD040"/>
    <w:lvl w:ilvl="0" w:tplc="BC687428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61096B9F"/>
    <w:multiLevelType w:val="hybridMultilevel"/>
    <w:tmpl w:val="C75A5FBE"/>
    <w:lvl w:ilvl="0" w:tplc="26B694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1025"/>
    <w:multiLevelType w:val="hybridMultilevel"/>
    <w:tmpl w:val="FF748FF2"/>
    <w:lvl w:ilvl="0" w:tplc="B35C822A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134A"/>
    <w:multiLevelType w:val="hybridMultilevel"/>
    <w:tmpl w:val="34C4B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E5BB4"/>
    <w:multiLevelType w:val="hybridMultilevel"/>
    <w:tmpl w:val="C7A0E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45B1"/>
    <w:multiLevelType w:val="hybridMultilevel"/>
    <w:tmpl w:val="1EEA72B2"/>
    <w:lvl w:ilvl="0" w:tplc="9F064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6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0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18"/>
  </w:num>
  <w:num w:numId="24">
    <w:abstractNumId w:val="16"/>
  </w:num>
  <w:num w:numId="25">
    <w:abstractNumId w:val="23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6"/>
    <w:rsid w:val="000005B8"/>
    <w:rsid w:val="000008FF"/>
    <w:rsid w:val="0000095C"/>
    <w:rsid w:val="000010E7"/>
    <w:rsid w:val="00002522"/>
    <w:rsid w:val="00004E13"/>
    <w:rsid w:val="000068AF"/>
    <w:rsid w:val="00007407"/>
    <w:rsid w:val="0001202F"/>
    <w:rsid w:val="00013054"/>
    <w:rsid w:val="00014924"/>
    <w:rsid w:val="000155CA"/>
    <w:rsid w:val="00017C74"/>
    <w:rsid w:val="00021218"/>
    <w:rsid w:val="000219D1"/>
    <w:rsid w:val="00021D1D"/>
    <w:rsid w:val="00022E84"/>
    <w:rsid w:val="00024240"/>
    <w:rsid w:val="00025BD8"/>
    <w:rsid w:val="00025E43"/>
    <w:rsid w:val="0002747C"/>
    <w:rsid w:val="00027E7B"/>
    <w:rsid w:val="00027EB3"/>
    <w:rsid w:val="00030F12"/>
    <w:rsid w:val="00031452"/>
    <w:rsid w:val="0003179F"/>
    <w:rsid w:val="00032028"/>
    <w:rsid w:val="00032EE7"/>
    <w:rsid w:val="0003329B"/>
    <w:rsid w:val="000339BE"/>
    <w:rsid w:val="000356AE"/>
    <w:rsid w:val="00035788"/>
    <w:rsid w:val="00035AF6"/>
    <w:rsid w:val="00041781"/>
    <w:rsid w:val="00041AE9"/>
    <w:rsid w:val="000437D4"/>
    <w:rsid w:val="00043A9D"/>
    <w:rsid w:val="00044AAF"/>
    <w:rsid w:val="000453F3"/>
    <w:rsid w:val="00046F1C"/>
    <w:rsid w:val="000502D6"/>
    <w:rsid w:val="00051A53"/>
    <w:rsid w:val="00052AF8"/>
    <w:rsid w:val="00054957"/>
    <w:rsid w:val="0005740D"/>
    <w:rsid w:val="000600F5"/>
    <w:rsid w:val="000608C9"/>
    <w:rsid w:val="00061AD0"/>
    <w:rsid w:val="00062ABF"/>
    <w:rsid w:val="000665E0"/>
    <w:rsid w:val="00070302"/>
    <w:rsid w:val="00070A94"/>
    <w:rsid w:val="00071762"/>
    <w:rsid w:val="00072C3E"/>
    <w:rsid w:val="000766BF"/>
    <w:rsid w:val="000814B5"/>
    <w:rsid w:val="0008188E"/>
    <w:rsid w:val="00082747"/>
    <w:rsid w:val="00082F30"/>
    <w:rsid w:val="00083012"/>
    <w:rsid w:val="00083DB4"/>
    <w:rsid w:val="0008618F"/>
    <w:rsid w:val="000878FE"/>
    <w:rsid w:val="00090A0E"/>
    <w:rsid w:val="00090DF4"/>
    <w:rsid w:val="0009317A"/>
    <w:rsid w:val="000931E7"/>
    <w:rsid w:val="0009334F"/>
    <w:rsid w:val="00093546"/>
    <w:rsid w:val="00093A22"/>
    <w:rsid w:val="0009537D"/>
    <w:rsid w:val="000965D9"/>
    <w:rsid w:val="000969A2"/>
    <w:rsid w:val="000A2F89"/>
    <w:rsid w:val="000A34DA"/>
    <w:rsid w:val="000A3D52"/>
    <w:rsid w:val="000A5D43"/>
    <w:rsid w:val="000A6DEC"/>
    <w:rsid w:val="000B228E"/>
    <w:rsid w:val="000B2FE9"/>
    <w:rsid w:val="000B4672"/>
    <w:rsid w:val="000B5F0F"/>
    <w:rsid w:val="000B6459"/>
    <w:rsid w:val="000B672E"/>
    <w:rsid w:val="000C0568"/>
    <w:rsid w:val="000C11C1"/>
    <w:rsid w:val="000C4891"/>
    <w:rsid w:val="000C4D5B"/>
    <w:rsid w:val="000C73E4"/>
    <w:rsid w:val="000D0A6A"/>
    <w:rsid w:val="000D1D5C"/>
    <w:rsid w:val="000D2656"/>
    <w:rsid w:val="000D2F3E"/>
    <w:rsid w:val="000D456C"/>
    <w:rsid w:val="000D4D03"/>
    <w:rsid w:val="000D6825"/>
    <w:rsid w:val="000D71F8"/>
    <w:rsid w:val="000E175D"/>
    <w:rsid w:val="000E1E16"/>
    <w:rsid w:val="000E253E"/>
    <w:rsid w:val="000E38B8"/>
    <w:rsid w:val="000F0053"/>
    <w:rsid w:val="000F06C5"/>
    <w:rsid w:val="000F0B13"/>
    <w:rsid w:val="000F2021"/>
    <w:rsid w:val="000F24A3"/>
    <w:rsid w:val="000F5081"/>
    <w:rsid w:val="000F61D6"/>
    <w:rsid w:val="000F6646"/>
    <w:rsid w:val="000F6EE2"/>
    <w:rsid w:val="001043A7"/>
    <w:rsid w:val="00105FAC"/>
    <w:rsid w:val="00107BC4"/>
    <w:rsid w:val="00110227"/>
    <w:rsid w:val="00110854"/>
    <w:rsid w:val="00113090"/>
    <w:rsid w:val="00114A2C"/>
    <w:rsid w:val="0011517C"/>
    <w:rsid w:val="0012200F"/>
    <w:rsid w:val="00122632"/>
    <w:rsid w:val="00123BCB"/>
    <w:rsid w:val="00125BB8"/>
    <w:rsid w:val="00126E5B"/>
    <w:rsid w:val="0013211D"/>
    <w:rsid w:val="00135529"/>
    <w:rsid w:val="00140591"/>
    <w:rsid w:val="00143543"/>
    <w:rsid w:val="0014483B"/>
    <w:rsid w:val="00145038"/>
    <w:rsid w:val="00146387"/>
    <w:rsid w:val="001473E7"/>
    <w:rsid w:val="001476B9"/>
    <w:rsid w:val="00147EBC"/>
    <w:rsid w:val="00151283"/>
    <w:rsid w:val="00151B0B"/>
    <w:rsid w:val="00152823"/>
    <w:rsid w:val="0015341A"/>
    <w:rsid w:val="0015468B"/>
    <w:rsid w:val="00155587"/>
    <w:rsid w:val="001562C0"/>
    <w:rsid w:val="00156F82"/>
    <w:rsid w:val="00157CAD"/>
    <w:rsid w:val="00160969"/>
    <w:rsid w:val="0016194C"/>
    <w:rsid w:val="00161AA9"/>
    <w:rsid w:val="0016338E"/>
    <w:rsid w:val="001643D2"/>
    <w:rsid w:val="00165B68"/>
    <w:rsid w:val="00166D5C"/>
    <w:rsid w:val="00170D94"/>
    <w:rsid w:val="00173033"/>
    <w:rsid w:val="001737C5"/>
    <w:rsid w:val="001743D6"/>
    <w:rsid w:val="00175F7F"/>
    <w:rsid w:val="00176F32"/>
    <w:rsid w:val="0017711D"/>
    <w:rsid w:val="0017757F"/>
    <w:rsid w:val="00181A3C"/>
    <w:rsid w:val="001824A6"/>
    <w:rsid w:val="001830C4"/>
    <w:rsid w:val="00183783"/>
    <w:rsid w:val="00183AE8"/>
    <w:rsid w:val="001861B1"/>
    <w:rsid w:val="00186C2A"/>
    <w:rsid w:val="00187F71"/>
    <w:rsid w:val="00191112"/>
    <w:rsid w:val="001912CA"/>
    <w:rsid w:val="001932B3"/>
    <w:rsid w:val="001945EC"/>
    <w:rsid w:val="00195358"/>
    <w:rsid w:val="00195A34"/>
    <w:rsid w:val="00195E18"/>
    <w:rsid w:val="0019799F"/>
    <w:rsid w:val="001979A6"/>
    <w:rsid w:val="001A1AC5"/>
    <w:rsid w:val="001A21AC"/>
    <w:rsid w:val="001A22BB"/>
    <w:rsid w:val="001A4C8D"/>
    <w:rsid w:val="001A5B32"/>
    <w:rsid w:val="001A6134"/>
    <w:rsid w:val="001A6502"/>
    <w:rsid w:val="001A662F"/>
    <w:rsid w:val="001A71FB"/>
    <w:rsid w:val="001A7E1C"/>
    <w:rsid w:val="001B0319"/>
    <w:rsid w:val="001B1207"/>
    <w:rsid w:val="001B3121"/>
    <w:rsid w:val="001B3EEF"/>
    <w:rsid w:val="001B478E"/>
    <w:rsid w:val="001B5E51"/>
    <w:rsid w:val="001B6BFE"/>
    <w:rsid w:val="001B6C8C"/>
    <w:rsid w:val="001B6F69"/>
    <w:rsid w:val="001B7988"/>
    <w:rsid w:val="001B7F99"/>
    <w:rsid w:val="001C025E"/>
    <w:rsid w:val="001C20C4"/>
    <w:rsid w:val="001C505F"/>
    <w:rsid w:val="001C65B1"/>
    <w:rsid w:val="001D0C19"/>
    <w:rsid w:val="001D1705"/>
    <w:rsid w:val="001D1CDD"/>
    <w:rsid w:val="001D3FDE"/>
    <w:rsid w:val="001D474B"/>
    <w:rsid w:val="001D5B57"/>
    <w:rsid w:val="001D62FA"/>
    <w:rsid w:val="001E066D"/>
    <w:rsid w:val="001E0898"/>
    <w:rsid w:val="001E0E23"/>
    <w:rsid w:val="001E3495"/>
    <w:rsid w:val="001E623D"/>
    <w:rsid w:val="001E698A"/>
    <w:rsid w:val="001E79B9"/>
    <w:rsid w:val="001E7AC2"/>
    <w:rsid w:val="001E7BCF"/>
    <w:rsid w:val="001F0080"/>
    <w:rsid w:val="001F0620"/>
    <w:rsid w:val="001F29F7"/>
    <w:rsid w:val="001F36F2"/>
    <w:rsid w:val="001F4E8D"/>
    <w:rsid w:val="001F52CD"/>
    <w:rsid w:val="001F5C1C"/>
    <w:rsid w:val="0020105A"/>
    <w:rsid w:val="002019C0"/>
    <w:rsid w:val="00202AD6"/>
    <w:rsid w:val="00203E6E"/>
    <w:rsid w:val="00204149"/>
    <w:rsid w:val="00205467"/>
    <w:rsid w:val="00205CA4"/>
    <w:rsid w:val="00206158"/>
    <w:rsid w:val="00212060"/>
    <w:rsid w:val="00215A8D"/>
    <w:rsid w:val="002172E7"/>
    <w:rsid w:val="002238C2"/>
    <w:rsid w:val="0022402A"/>
    <w:rsid w:val="0022434B"/>
    <w:rsid w:val="00227CA9"/>
    <w:rsid w:val="00231D7A"/>
    <w:rsid w:val="00231F4E"/>
    <w:rsid w:val="002320D1"/>
    <w:rsid w:val="00232A56"/>
    <w:rsid w:val="0023530D"/>
    <w:rsid w:val="00235806"/>
    <w:rsid w:val="00235FC9"/>
    <w:rsid w:val="0024010D"/>
    <w:rsid w:val="0024236E"/>
    <w:rsid w:val="002444E2"/>
    <w:rsid w:val="0024471D"/>
    <w:rsid w:val="0024531D"/>
    <w:rsid w:val="00245992"/>
    <w:rsid w:val="00251379"/>
    <w:rsid w:val="002513FF"/>
    <w:rsid w:val="00252707"/>
    <w:rsid w:val="00253256"/>
    <w:rsid w:val="00253F0F"/>
    <w:rsid w:val="002547BC"/>
    <w:rsid w:val="002571A0"/>
    <w:rsid w:val="00260BA3"/>
    <w:rsid w:val="00261539"/>
    <w:rsid w:val="00262F81"/>
    <w:rsid w:val="002639C0"/>
    <w:rsid w:val="002660EA"/>
    <w:rsid w:val="00266C2F"/>
    <w:rsid w:val="00266D7D"/>
    <w:rsid w:val="00267E3A"/>
    <w:rsid w:val="00267FE9"/>
    <w:rsid w:val="00270E7F"/>
    <w:rsid w:val="00274C95"/>
    <w:rsid w:val="00275322"/>
    <w:rsid w:val="002761E8"/>
    <w:rsid w:val="00282127"/>
    <w:rsid w:val="00283315"/>
    <w:rsid w:val="002913F5"/>
    <w:rsid w:val="00292D21"/>
    <w:rsid w:val="002A0F26"/>
    <w:rsid w:val="002A1B99"/>
    <w:rsid w:val="002A205B"/>
    <w:rsid w:val="002A3285"/>
    <w:rsid w:val="002A374C"/>
    <w:rsid w:val="002A4AB4"/>
    <w:rsid w:val="002B0C9A"/>
    <w:rsid w:val="002B11D8"/>
    <w:rsid w:val="002B20F8"/>
    <w:rsid w:val="002B5080"/>
    <w:rsid w:val="002B6165"/>
    <w:rsid w:val="002C0A17"/>
    <w:rsid w:val="002C0ED5"/>
    <w:rsid w:val="002C448C"/>
    <w:rsid w:val="002C6105"/>
    <w:rsid w:val="002C69B2"/>
    <w:rsid w:val="002D26CC"/>
    <w:rsid w:val="002D390A"/>
    <w:rsid w:val="002D5E50"/>
    <w:rsid w:val="002D5E8F"/>
    <w:rsid w:val="002D61D8"/>
    <w:rsid w:val="002D7135"/>
    <w:rsid w:val="002D76E5"/>
    <w:rsid w:val="002D7CCD"/>
    <w:rsid w:val="002D7D53"/>
    <w:rsid w:val="002E1702"/>
    <w:rsid w:val="002E1804"/>
    <w:rsid w:val="002E2441"/>
    <w:rsid w:val="002E29A9"/>
    <w:rsid w:val="002E5FE7"/>
    <w:rsid w:val="002E751A"/>
    <w:rsid w:val="002E7A41"/>
    <w:rsid w:val="002F2E4F"/>
    <w:rsid w:val="002F32A2"/>
    <w:rsid w:val="002F46FB"/>
    <w:rsid w:val="002F5747"/>
    <w:rsid w:val="0030294A"/>
    <w:rsid w:val="00304070"/>
    <w:rsid w:val="00304304"/>
    <w:rsid w:val="00304D3B"/>
    <w:rsid w:val="00306E55"/>
    <w:rsid w:val="003141FC"/>
    <w:rsid w:val="00314867"/>
    <w:rsid w:val="00316055"/>
    <w:rsid w:val="00316A26"/>
    <w:rsid w:val="00316EEC"/>
    <w:rsid w:val="00323A51"/>
    <w:rsid w:val="00323BB6"/>
    <w:rsid w:val="0032459C"/>
    <w:rsid w:val="003256F8"/>
    <w:rsid w:val="00325D17"/>
    <w:rsid w:val="003260E9"/>
    <w:rsid w:val="003262BC"/>
    <w:rsid w:val="00326FEF"/>
    <w:rsid w:val="00332060"/>
    <w:rsid w:val="00333A02"/>
    <w:rsid w:val="003348D0"/>
    <w:rsid w:val="00337808"/>
    <w:rsid w:val="00342E25"/>
    <w:rsid w:val="0034448E"/>
    <w:rsid w:val="00345E62"/>
    <w:rsid w:val="00345F91"/>
    <w:rsid w:val="00346537"/>
    <w:rsid w:val="0035096A"/>
    <w:rsid w:val="0035145A"/>
    <w:rsid w:val="00352A22"/>
    <w:rsid w:val="0035415D"/>
    <w:rsid w:val="00354407"/>
    <w:rsid w:val="003558DA"/>
    <w:rsid w:val="00355D47"/>
    <w:rsid w:val="0035696C"/>
    <w:rsid w:val="00356BE8"/>
    <w:rsid w:val="0036385E"/>
    <w:rsid w:val="00363AA8"/>
    <w:rsid w:val="0036536C"/>
    <w:rsid w:val="00365B14"/>
    <w:rsid w:val="003709D7"/>
    <w:rsid w:val="0037277D"/>
    <w:rsid w:val="003731DA"/>
    <w:rsid w:val="00375BF8"/>
    <w:rsid w:val="00376228"/>
    <w:rsid w:val="00376F47"/>
    <w:rsid w:val="003816FC"/>
    <w:rsid w:val="003835C5"/>
    <w:rsid w:val="00383C11"/>
    <w:rsid w:val="0038459C"/>
    <w:rsid w:val="003849AA"/>
    <w:rsid w:val="00385163"/>
    <w:rsid w:val="00385C7C"/>
    <w:rsid w:val="00387B1B"/>
    <w:rsid w:val="003905C2"/>
    <w:rsid w:val="00391418"/>
    <w:rsid w:val="00393642"/>
    <w:rsid w:val="00394A7B"/>
    <w:rsid w:val="003A21FB"/>
    <w:rsid w:val="003A517E"/>
    <w:rsid w:val="003A655F"/>
    <w:rsid w:val="003A6700"/>
    <w:rsid w:val="003A6BBE"/>
    <w:rsid w:val="003B045A"/>
    <w:rsid w:val="003B09DE"/>
    <w:rsid w:val="003B2655"/>
    <w:rsid w:val="003B3172"/>
    <w:rsid w:val="003B38DB"/>
    <w:rsid w:val="003B4D0D"/>
    <w:rsid w:val="003B5A62"/>
    <w:rsid w:val="003B5BF5"/>
    <w:rsid w:val="003B64DB"/>
    <w:rsid w:val="003B659B"/>
    <w:rsid w:val="003B762D"/>
    <w:rsid w:val="003B77F9"/>
    <w:rsid w:val="003C00EE"/>
    <w:rsid w:val="003C2B18"/>
    <w:rsid w:val="003C2F48"/>
    <w:rsid w:val="003C45B0"/>
    <w:rsid w:val="003C4777"/>
    <w:rsid w:val="003C6348"/>
    <w:rsid w:val="003C643E"/>
    <w:rsid w:val="003C7ABD"/>
    <w:rsid w:val="003D4C42"/>
    <w:rsid w:val="003D5158"/>
    <w:rsid w:val="003D611A"/>
    <w:rsid w:val="003D62BB"/>
    <w:rsid w:val="003D6A2F"/>
    <w:rsid w:val="003E4191"/>
    <w:rsid w:val="003E5901"/>
    <w:rsid w:val="003E7F41"/>
    <w:rsid w:val="003F5B05"/>
    <w:rsid w:val="003F5D27"/>
    <w:rsid w:val="003F62A5"/>
    <w:rsid w:val="00400E81"/>
    <w:rsid w:val="0040157D"/>
    <w:rsid w:val="004025AB"/>
    <w:rsid w:val="00403C61"/>
    <w:rsid w:val="00404501"/>
    <w:rsid w:val="00404AEF"/>
    <w:rsid w:val="004055D0"/>
    <w:rsid w:val="00407E9B"/>
    <w:rsid w:val="00411484"/>
    <w:rsid w:val="0041466D"/>
    <w:rsid w:val="00414F5D"/>
    <w:rsid w:val="004161CB"/>
    <w:rsid w:val="004176A1"/>
    <w:rsid w:val="00417B00"/>
    <w:rsid w:val="00423EFA"/>
    <w:rsid w:val="00426678"/>
    <w:rsid w:val="004302CE"/>
    <w:rsid w:val="0043246F"/>
    <w:rsid w:val="00433BAD"/>
    <w:rsid w:val="00433DC2"/>
    <w:rsid w:val="0043455B"/>
    <w:rsid w:val="00435A96"/>
    <w:rsid w:val="0044168C"/>
    <w:rsid w:val="00441C42"/>
    <w:rsid w:val="00442FAF"/>
    <w:rsid w:val="00452A61"/>
    <w:rsid w:val="0045358E"/>
    <w:rsid w:val="0045676F"/>
    <w:rsid w:val="00457992"/>
    <w:rsid w:val="00464DA3"/>
    <w:rsid w:val="004657FB"/>
    <w:rsid w:val="00466C9D"/>
    <w:rsid w:val="0046732D"/>
    <w:rsid w:val="00471D17"/>
    <w:rsid w:val="004722C9"/>
    <w:rsid w:val="004748FA"/>
    <w:rsid w:val="00475832"/>
    <w:rsid w:val="00477233"/>
    <w:rsid w:val="0048278F"/>
    <w:rsid w:val="004834A9"/>
    <w:rsid w:val="00483564"/>
    <w:rsid w:val="00483583"/>
    <w:rsid w:val="00484CB9"/>
    <w:rsid w:val="00484DD2"/>
    <w:rsid w:val="004854E7"/>
    <w:rsid w:val="00486EE0"/>
    <w:rsid w:val="00487E33"/>
    <w:rsid w:val="004912CF"/>
    <w:rsid w:val="0049300A"/>
    <w:rsid w:val="00494220"/>
    <w:rsid w:val="0049684D"/>
    <w:rsid w:val="004A18EB"/>
    <w:rsid w:val="004A7793"/>
    <w:rsid w:val="004B448A"/>
    <w:rsid w:val="004B6578"/>
    <w:rsid w:val="004B68C4"/>
    <w:rsid w:val="004B7746"/>
    <w:rsid w:val="004C04F9"/>
    <w:rsid w:val="004C0B0A"/>
    <w:rsid w:val="004C3004"/>
    <w:rsid w:val="004C3837"/>
    <w:rsid w:val="004C6E44"/>
    <w:rsid w:val="004C6E8C"/>
    <w:rsid w:val="004C7F36"/>
    <w:rsid w:val="004D168B"/>
    <w:rsid w:val="004D1C53"/>
    <w:rsid w:val="004D2DC7"/>
    <w:rsid w:val="004D3328"/>
    <w:rsid w:val="004D446C"/>
    <w:rsid w:val="004D44B9"/>
    <w:rsid w:val="004D4999"/>
    <w:rsid w:val="004D5C9B"/>
    <w:rsid w:val="004D69B7"/>
    <w:rsid w:val="004D7397"/>
    <w:rsid w:val="004D79DB"/>
    <w:rsid w:val="004D7C36"/>
    <w:rsid w:val="004D7FA2"/>
    <w:rsid w:val="004E1544"/>
    <w:rsid w:val="004E202F"/>
    <w:rsid w:val="004E3718"/>
    <w:rsid w:val="004E38FA"/>
    <w:rsid w:val="004E3C71"/>
    <w:rsid w:val="004E4CF5"/>
    <w:rsid w:val="004E53B1"/>
    <w:rsid w:val="004E5963"/>
    <w:rsid w:val="004F080C"/>
    <w:rsid w:val="004F0C4B"/>
    <w:rsid w:val="004F541C"/>
    <w:rsid w:val="004F62CA"/>
    <w:rsid w:val="004F6332"/>
    <w:rsid w:val="004F65F8"/>
    <w:rsid w:val="004F73D5"/>
    <w:rsid w:val="004F73E5"/>
    <w:rsid w:val="004F7CD5"/>
    <w:rsid w:val="005017CF"/>
    <w:rsid w:val="005020B0"/>
    <w:rsid w:val="005025B0"/>
    <w:rsid w:val="005031A2"/>
    <w:rsid w:val="00503EBE"/>
    <w:rsid w:val="00505A79"/>
    <w:rsid w:val="005064C1"/>
    <w:rsid w:val="00511CEF"/>
    <w:rsid w:val="005126D5"/>
    <w:rsid w:val="005134E6"/>
    <w:rsid w:val="00514547"/>
    <w:rsid w:val="00515DF3"/>
    <w:rsid w:val="00517E64"/>
    <w:rsid w:val="00520CF1"/>
    <w:rsid w:val="00524632"/>
    <w:rsid w:val="005256A6"/>
    <w:rsid w:val="00530CDD"/>
    <w:rsid w:val="00532A22"/>
    <w:rsid w:val="00532B53"/>
    <w:rsid w:val="005340CA"/>
    <w:rsid w:val="0053466C"/>
    <w:rsid w:val="00535922"/>
    <w:rsid w:val="00541A14"/>
    <w:rsid w:val="00543F99"/>
    <w:rsid w:val="0054628F"/>
    <w:rsid w:val="00546BEE"/>
    <w:rsid w:val="00546DC5"/>
    <w:rsid w:val="00551F9B"/>
    <w:rsid w:val="00553671"/>
    <w:rsid w:val="005539F3"/>
    <w:rsid w:val="0055610F"/>
    <w:rsid w:val="005565B7"/>
    <w:rsid w:val="005573FF"/>
    <w:rsid w:val="005616A2"/>
    <w:rsid w:val="00563409"/>
    <w:rsid w:val="005637B3"/>
    <w:rsid w:val="00564361"/>
    <w:rsid w:val="00564C82"/>
    <w:rsid w:val="00564E37"/>
    <w:rsid w:val="005654ED"/>
    <w:rsid w:val="00565C4D"/>
    <w:rsid w:val="00570479"/>
    <w:rsid w:val="00577240"/>
    <w:rsid w:val="005800CC"/>
    <w:rsid w:val="00584012"/>
    <w:rsid w:val="00584123"/>
    <w:rsid w:val="00584402"/>
    <w:rsid w:val="0058446D"/>
    <w:rsid w:val="00586063"/>
    <w:rsid w:val="00586070"/>
    <w:rsid w:val="00586154"/>
    <w:rsid w:val="005864E3"/>
    <w:rsid w:val="00586BB2"/>
    <w:rsid w:val="00587429"/>
    <w:rsid w:val="0058768A"/>
    <w:rsid w:val="00592BD7"/>
    <w:rsid w:val="005949FC"/>
    <w:rsid w:val="00595EF4"/>
    <w:rsid w:val="005A0F4E"/>
    <w:rsid w:val="005A1554"/>
    <w:rsid w:val="005A63F8"/>
    <w:rsid w:val="005A693E"/>
    <w:rsid w:val="005A7079"/>
    <w:rsid w:val="005B26A2"/>
    <w:rsid w:val="005B281B"/>
    <w:rsid w:val="005B2A44"/>
    <w:rsid w:val="005B2F7D"/>
    <w:rsid w:val="005B5F4C"/>
    <w:rsid w:val="005B7145"/>
    <w:rsid w:val="005C025A"/>
    <w:rsid w:val="005C150D"/>
    <w:rsid w:val="005C19CD"/>
    <w:rsid w:val="005C3434"/>
    <w:rsid w:val="005C3B91"/>
    <w:rsid w:val="005C3C52"/>
    <w:rsid w:val="005C7713"/>
    <w:rsid w:val="005D1B07"/>
    <w:rsid w:val="005D23D2"/>
    <w:rsid w:val="005D2B55"/>
    <w:rsid w:val="005D33DF"/>
    <w:rsid w:val="005D4A5E"/>
    <w:rsid w:val="005D6534"/>
    <w:rsid w:val="005E0D0C"/>
    <w:rsid w:val="005E11E3"/>
    <w:rsid w:val="005E1845"/>
    <w:rsid w:val="005E272F"/>
    <w:rsid w:val="005E2E66"/>
    <w:rsid w:val="005E5D9A"/>
    <w:rsid w:val="005E70E4"/>
    <w:rsid w:val="005E72B1"/>
    <w:rsid w:val="005F46AA"/>
    <w:rsid w:val="005F4745"/>
    <w:rsid w:val="005F572D"/>
    <w:rsid w:val="005F5EB7"/>
    <w:rsid w:val="005F693E"/>
    <w:rsid w:val="0060285C"/>
    <w:rsid w:val="00604FFA"/>
    <w:rsid w:val="00605880"/>
    <w:rsid w:val="00607381"/>
    <w:rsid w:val="006073B3"/>
    <w:rsid w:val="00607FF7"/>
    <w:rsid w:val="00610016"/>
    <w:rsid w:val="0061390E"/>
    <w:rsid w:val="00613C08"/>
    <w:rsid w:val="006148DD"/>
    <w:rsid w:val="00616C3B"/>
    <w:rsid w:val="00620441"/>
    <w:rsid w:val="00620D3C"/>
    <w:rsid w:val="0062426A"/>
    <w:rsid w:val="00626307"/>
    <w:rsid w:val="00626829"/>
    <w:rsid w:val="00626C28"/>
    <w:rsid w:val="00626E12"/>
    <w:rsid w:val="006305E8"/>
    <w:rsid w:val="006315EF"/>
    <w:rsid w:val="006335A8"/>
    <w:rsid w:val="00633AB8"/>
    <w:rsid w:val="0063408F"/>
    <w:rsid w:val="00634C12"/>
    <w:rsid w:val="006356E8"/>
    <w:rsid w:val="00635B18"/>
    <w:rsid w:val="00635B53"/>
    <w:rsid w:val="00637B51"/>
    <w:rsid w:val="00640BAF"/>
    <w:rsid w:val="006417F2"/>
    <w:rsid w:val="00642610"/>
    <w:rsid w:val="006426DD"/>
    <w:rsid w:val="006436E3"/>
    <w:rsid w:val="00645C38"/>
    <w:rsid w:val="006462B1"/>
    <w:rsid w:val="0064645B"/>
    <w:rsid w:val="006474EF"/>
    <w:rsid w:val="00647614"/>
    <w:rsid w:val="00647C2A"/>
    <w:rsid w:val="00651B84"/>
    <w:rsid w:val="00653BE8"/>
    <w:rsid w:val="00655AAA"/>
    <w:rsid w:val="00657595"/>
    <w:rsid w:val="00660A50"/>
    <w:rsid w:val="006635E2"/>
    <w:rsid w:val="00663B21"/>
    <w:rsid w:val="00663C78"/>
    <w:rsid w:val="00664D73"/>
    <w:rsid w:val="006673C0"/>
    <w:rsid w:val="0066788C"/>
    <w:rsid w:val="00670C8C"/>
    <w:rsid w:val="0067208B"/>
    <w:rsid w:val="006737DC"/>
    <w:rsid w:val="00675B01"/>
    <w:rsid w:val="00680F9B"/>
    <w:rsid w:val="00681BEC"/>
    <w:rsid w:val="00683280"/>
    <w:rsid w:val="00685E00"/>
    <w:rsid w:val="006866B3"/>
    <w:rsid w:val="006877F2"/>
    <w:rsid w:val="006916C3"/>
    <w:rsid w:val="00692DE0"/>
    <w:rsid w:val="0069522E"/>
    <w:rsid w:val="006A00E0"/>
    <w:rsid w:val="006A0E40"/>
    <w:rsid w:val="006A1045"/>
    <w:rsid w:val="006A1B84"/>
    <w:rsid w:val="006A20D2"/>
    <w:rsid w:val="006A2893"/>
    <w:rsid w:val="006A3AD1"/>
    <w:rsid w:val="006A40FA"/>
    <w:rsid w:val="006A4227"/>
    <w:rsid w:val="006B002D"/>
    <w:rsid w:val="006B1638"/>
    <w:rsid w:val="006B17DB"/>
    <w:rsid w:val="006B3161"/>
    <w:rsid w:val="006B3962"/>
    <w:rsid w:val="006B3F5E"/>
    <w:rsid w:val="006B5600"/>
    <w:rsid w:val="006B6DD0"/>
    <w:rsid w:val="006B7908"/>
    <w:rsid w:val="006C2799"/>
    <w:rsid w:val="006C3032"/>
    <w:rsid w:val="006C3AF5"/>
    <w:rsid w:val="006C5278"/>
    <w:rsid w:val="006C583A"/>
    <w:rsid w:val="006C780C"/>
    <w:rsid w:val="006C7A0B"/>
    <w:rsid w:val="006D1138"/>
    <w:rsid w:val="006D1AE8"/>
    <w:rsid w:val="006D2918"/>
    <w:rsid w:val="006D45DD"/>
    <w:rsid w:val="006D54D5"/>
    <w:rsid w:val="006D57E4"/>
    <w:rsid w:val="006D6E35"/>
    <w:rsid w:val="006E0A8F"/>
    <w:rsid w:val="006E1139"/>
    <w:rsid w:val="006E26C4"/>
    <w:rsid w:val="006E32EB"/>
    <w:rsid w:val="006E48E9"/>
    <w:rsid w:val="006E7C24"/>
    <w:rsid w:val="006F15D3"/>
    <w:rsid w:val="006F1DC7"/>
    <w:rsid w:val="006F5365"/>
    <w:rsid w:val="006F654B"/>
    <w:rsid w:val="006F6988"/>
    <w:rsid w:val="006F6EB0"/>
    <w:rsid w:val="006F70FD"/>
    <w:rsid w:val="006F75B8"/>
    <w:rsid w:val="006F773A"/>
    <w:rsid w:val="006F789E"/>
    <w:rsid w:val="0070364B"/>
    <w:rsid w:val="00704286"/>
    <w:rsid w:val="00704B4C"/>
    <w:rsid w:val="00704F0D"/>
    <w:rsid w:val="007056B8"/>
    <w:rsid w:val="00706FD9"/>
    <w:rsid w:val="007071B5"/>
    <w:rsid w:val="00707689"/>
    <w:rsid w:val="00710344"/>
    <w:rsid w:val="00710C6F"/>
    <w:rsid w:val="00710F5E"/>
    <w:rsid w:val="00712BCA"/>
    <w:rsid w:val="00713095"/>
    <w:rsid w:val="00715666"/>
    <w:rsid w:val="007176CA"/>
    <w:rsid w:val="00717B7A"/>
    <w:rsid w:val="007204B5"/>
    <w:rsid w:val="007213A4"/>
    <w:rsid w:val="00721E04"/>
    <w:rsid w:val="00722935"/>
    <w:rsid w:val="0072330F"/>
    <w:rsid w:val="0072415F"/>
    <w:rsid w:val="00725CBD"/>
    <w:rsid w:val="00725D20"/>
    <w:rsid w:val="007262CC"/>
    <w:rsid w:val="00726943"/>
    <w:rsid w:val="00730625"/>
    <w:rsid w:val="00730682"/>
    <w:rsid w:val="007335F8"/>
    <w:rsid w:val="00733B16"/>
    <w:rsid w:val="00735BB6"/>
    <w:rsid w:val="0073615E"/>
    <w:rsid w:val="00741753"/>
    <w:rsid w:val="00741E5D"/>
    <w:rsid w:val="0074283A"/>
    <w:rsid w:val="00743EB1"/>
    <w:rsid w:val="00746C6D"/>
    <w:rsid w:val="0075030A"/>
    <w:rsid w:val="00751BE4"/>
    <w:rsid w:val="0075341A"/>
    <w:rsid w:val="0075503A"/>
    <w:rsid w:val="0075583E"/>
    <w:rsid w:val="00757CDE"/>
    <w:rsid w:val="00764506"/>
    <w:rsid w:val="00765D5C"/>
    <w:rsid w:val="0077155B"/>
    <w:rsid w:val="007718F6"/>
    <w:rsid w:val="00772B65"/>
    <w:rsid w:val="00772CB1"/>
    <w:rsid w:val="00775A9F"/>
    <w:rsid w:val="00777BC3"/>
    <w:rsid w:val="0078240F"/>
    <w:rsid w:val="0078333C"/>
    <w:rsid w:val="007845AB"/>
    <w:rsid w:val="00784A4D"/>
    <w:rsid w:val="00785FE3"/>
    <w:rsid w:val="00786429"/>
    <w:rsid w:val="00786E1A"/>
    <w:rsid w:val="00787CCB"/>
    <w:rsid w:val="00791B58"/>
    <w:rsid w:val="007925AA"/>
    <w:rsid w:val="007930DD"/>
    <w:rsid w:val="00793794"/>
    <w:rsid w:val="00793840"/>
    <w:rsid w:val="007975B5"/>
    <w:rsid w:val="0079782C"/>
    <w:rsid w:val="00797D20"/>
    <w:rsid w:val="007A1977"/>
    <w:rsid w:val="007A1D3E"/>
    <w:rsid w:val="007A67C5"/>
    <w:rsid w:val="007A7A13"/>
    <w:rsid w:val="007B05A5"/>
    <w:rsid w:val="007B0852"/>
    <w:rsid w:val="007B26BC"/>
    <w:rsid w:val="007B3585"/>
    <w:rsid w:val="007B53D7"/>
    <w:rsid w:val="007B6C69"/>
    <w:rsid w:val="007C0174"/>
    <w:rsid w:val="007C192B"/>
    <w:rsid w:val="007C24BC"/>
    <w:rsid w:val="007C3897"/>
    <w:rsid w:val="007C6C61"/>
    <w:rsid w:val="007C6FDB"/>
    <w:rsid w:val="007D1CB7"/>
    <w:rsid w:val="007D32FD"/>
    <w:rsid w:val="007D3C4E"/>
    <w:rsid w:val="007D476A"/>
    <w:rsid w:val="007D5088"/>
    <w:rsid w:val="007D5D3A"/>
    <w:rsid w:val="007D6128"/>
    <w:rsid w:val="007D75C6"/>
    <w:rsid w:val="007D78B4"/>
    <w:rsid w:val="007E01D0"/>
    <w:rsid w:val="007E0ED4"/>
    <w:rsid w:val="007E1843"/>
    <w:rsid w:val="007E3D33"/>
    <w:rsid w:val="007E3FBD"/>
    <w:rsid w:val="007E4A07"/>
    <w:rsid w:val="007E5D8B"/>
    <w:rsid w:val="007F3CDD"/>
    <w:rsid w:val="007F4F29"/>
    <w:rsid w:val="007F500A"/>
    <w:rsid w:val="007F6808"/>
    <w:rsid w:val="007F6B4B"/>
    <w:rsid w:val="007F7533"/>
    <w:rsid w:val="008023EE"/>
    <w:rsid w:val="00802DEA"/>
    <w:rsid w:val="00804A45"/>
    <w:rsid w:val="00804C29"/>
    <w:rsid w:val="00805CC2"/>
    <w:rsid w:val="00807188"/>
    <w:rsid w:val="008077AF"/>
    <w:rsid w:val="00810087"/>
    <w:rsid w:val="008100A0"/>
    <w:rsid w:val="00811A87"/>
    <w:rsid w:val="00813248"/>
    <w:rsid w:val="00815D80"/>
    <w:rsid w:val="00815DB6"/>
    <w:rsid w:val="00816A30"/>
    <w:rsid w:val="008207C3"/>
    <w:rsid w:val="0082151A"/>
    <w:rsid w:val="00825B68"/>
    <w:rsid w:val="00825EDB"/>
    <w:rsid w:val="00827F06"/>
    <w:rsid w:val="0083008E"/>
    <w:rsid w:val="008307FF"/>
    <w:rsid w:val="00832054"/>
    <w:rsid w:val="00832902"/>
    <w:rsid w:val="008329F9"/>
    <w:rsid w:val="00833900"/>
    <w:rsid w:val="00833DEE"/>
    <w:rsid w:val="008420CA"/>
    <w:rsid w:val="00843080"/>
    <w:rsid w:val="0084327A"/>
    <w:rsid w:val="008442F2"/>
    <w:rsid w:val="00845ADC"/>
    <w:rsid w:val="008471D5"/>
    <w:rsid w:val="00850556"/>
    <w:rsid w:val="008510F9"/>
    <w:rsid w:val="00852577"/>
    <w:rsid w:val="00853D37"/>
    <w:rsid w:val="00855114"/>
    <w:rsid w:val="0085540F"/>
    <w:rsid w:val="00856229"/>
    <w:rsid w:val="008566AF"/>
    <w:rsid w:val="00856700"/>
    <w:rsid w:val="00862BB8"/>
    <w:rsid w:val="008634B0"/>
    <w:rsid w:val="008644DC"/>
    <w:rsid w:val="008677F5"/>
    <w:rsid w:val="008705A7"/>
    <w:rsid w:val="00870AAA"/>
    <w:rsid w:val="00872EEE"/>
    <w:rsid w:val="008730CD"/>
    <w:rsid w:val="0087633E"/>
    <w:rsid w:val="00877C84"/>
    <w:rsid w:val="00877F57"/>
    <w:rsid w:val="00880A06"/>
    <w:rsid w:val="00883623"/>
    <w:rsid w:val="00885430"/>
    <w:rsid w:val="008860F8"/>
    <w:rsid w:val="00886D25"/>
    <w:rsid w:val="008929CE"/>
    <w:rsid w:val="00892AF1"/>
    <w:rsid w:val="00893918"/>
    <w:rsid w:val="0089579C"/>
    <w:rsid w:val="00895E2E"/>
    <w:rsid w:val="0089699D"/>
    <w:rsid w:val="0089736A"/>
    <w:rsid w:val="008A0831"/>
    <w:rsid w:val="008A10AB"/>
    <w:rsid w:val="008A17D6"/>
    <w:rsid w:val="008A1CDD"/>
    <w:rsid w:val="008A29D4"/>
    <w:rsid w:val="008A30F3"/>
    <w:rsid w:val="008A4478"/>
    <w:rsid w:val="008A74BF"/>
    <w:rsid w:val="008A7D53"/>
    <w:rsid w:val="008B0675"/>
    <w:rsid w:val="008B204E"/>
    <w:rsid w:val="008B27BA"/>
    <w:rsid w:val="008B4F8D"/>
    <w:rsid w:val="008B5529"/>
    <w:rsid w:val="008B6C7D"/>
    <w:rsid w:val="008B7B8A"/>
    <w:rsid w:val="008C3E62"/>
    <w:rsid w:val="008C4110"/>
    <w:rsid w:val="008C4E75"/>
    <w:rsid w:val="008C5AA5"/>
    <w:rsid w:val="008C6529"/>
    <w:rsid w:val="008D01FF"/>
    <w:rsid w:val="008D518C"/>
    <w:rsid w:val="008D5235"/>
    <w:rsid w:val="008D523F"/>
    <w:rsid w:val="008D5EC3"/>
    <w:rsid w:val="008D6377"/>
    <w:rsid w:val="008D6504"/>
    <w:rsid w:val="008D664D"/>
    <w:rsid w:val="008D6B6A"/>
    <w:rsid w:val="008E1CE0"/>
    <w:rsid w:val="008E1FED"/>
    <w:rsid w:val="008E6638"/>
    <w:rsid w:val="008E7ADA"/>
    <w:rsid w:val="008E7DDA"/>
    <w:rsid w:val="008F284D"/>
    <w:rsid w:val="008F4882"/>
    <w:rsid w:val="008F4A45"/>
    <w:rsid w:val="008F6E0C"/>
    <w:rsid w:val="008F780A"/>
    <w:rsid w:val="00900519"/>
    <w:rsid w:val="0090432D"/>
    <w:rsid w:val="00905807"/>
    <w:rsid w:val="0091168A"/>
    <w:rsid w:val="00912406"/>
    <w:rsid w:val="00913633"/>
    <w:rsid w:val="00913855"/>
    <w:rsid w:val="00913878"/>
    <w:rsid w:val="0091393B"/>
    <w:rsid w:val="0091454A"/>
    <w:rsid w:val="009146D4"/>
    <w:rsid w:val="00915402"/>
    <w:rsid w:val="00915B59"/>
    <w:rsid w:val="00916597"/>
    <w:rsid w:val="00917BF4"/>
    <w:rsid w:val="0092073B"/>
    <w:rsid w:val="009207A8"/>
    <w:rsid w:val="00921CE3"/>
    <w:rsid w:val="00923667"/>
    <w:rsid w:val="00924CB9"/>
    <w:rsid w:val="00926333"/>
    <w:rsid w:val="009269A7"/>
    <w:rsid w:val="00926C5D"/>
    <w:rsid w:val="00926F76"/>
    <w:rsid w:val="0093058E"/>
    <w:rsid w:val="0093077A"/>
    <w:rsid w:val="00931B20"/>
    <w:rsid w:val="00933552"/>
    <w:rsid w:val="00933E17"/>
    <w:rsid w:val="00934594"/>
    <w:rsid w:val="00934660"/>
    <w:rsid w:val="00934CE0"/>
    <w:rsid w:val="00934E5C"/>
    <w:rsid w:val="00940761"/>
    <w:rsid w:val="00941412"/>
    <w:rsid w:val="009425C3"/>
    <w:rsid w:val="00944A8A"/>
    <w:rsid w:val="0094525B"/>
    <w:rsid w:val="0094541F"/>
    <w:rsid w:val="00945739"/>
    <w:rsid w:val="00947811"/>
    <w:rsid w:val="00947AE1"/>
    <w:rsid w:val="0095122D"/>
    <w:rsid w:val="009515A9"/>
    <w:rsid w:val="00952401"/>
    <w:rsid w:val="00952858"/>
    <w:rsid w:val="009555B6"/>
    <w:rsid w:val="00955943"/>
    <w:rsid w:val="00956F28"/>
    <w:rsid w:val="00957F38"/>
    <w:rsid w:val="009615BF"/>
    <w:rsid w:val="00963FC2"/>
    <w:rsid w:val="00965297"/>
    <w:rsid w:val="009662F4"/>
    <w:rsid w:val="00966D2F"/>
    <w:rsid w:val="009708A6"/>
    <w:rsid w:val="009752E6"/>
    <w:rsid w:val="009776D6"/>
    <w:rsid w:val="00977EE1"/>
    <w:rsid w:val="009808BE"/>
    <w:rsid w:val="009819C1"/>
    <w:rsid w:val="00981F14"/>
    <w:rsid w:val="009821BF"/>
    <w:rsid w:val="009835ED"/>
    <w:rsid w:val="00983E93"/>
    <w:rsid w:val="0098492E"/>
    <w:rsid w:val="00986C78"/>
    <w:rsid w:val="00987605"/>
    <w:rsid w:val="009907C0"/>
    <w:rsid w:val="0099145F"/>
    <w:rsid w:val="00992A54"/>
    <w:rsid w:val="009968FE"/>
    <w:rsid w:val="00996A08"/>
    <w:rsid w:val="009971E8"/>
    <w:rsid w:val="009A1824"/>
    <w:rsid w:val="009A2B3E"/>
    <w:rsid w:val="009A2D09"/>
    <w:rsid w:val="009A45DB"/>
    <w:rsid w:val="009A49ED"/>
    <w:rsid w:val="009A61A0"/>
    <w:rsid w:val="009A6738"/>
    <w:rsid w:val="009A6938"/>
    <w:rsid w:val="009B2453"/>
    <w:rsid w:val="009B4174"/>
    <w:rsid w:val="009B41EF"/>
    <w:rsid w:val="009B5903"/>
    <w:rsid w:val="009B758C"/>
    <w:rsid w:val="009C037A"/>
    <w:rsid w:val="009C191C"/>
    <w:rsid w:val="009C2286"/>
    <w:rsid w:val="009C2636"/>
    <w:rsid w:val="009C3A82"/>
    <w:rsid w:val="009C3C31"/>
    <w:rsid w:val="009C78D2"/>
    <w:rsid w:val="009D107B"/>
    <w:rsid w:val="009D1284"/>
    <w:rsid w:val="009D2727"/>
    <w:rsid w:val="009D5ACF"/>
    <w:rsid w:val="009D5E3C"/>
    <w:rsid w:val="009D75A2"/>
    <w:rsid w:val="009E2847"/>
    <w:rsid w:val="009E312B"/>
    <w:rsid w:val="009E6FFE"/>
    <w:rsid w:val="009E7100"/>
    <w:rsid w:val="009E7188"/>
    <w:rsid w:val="009F0C65"/>
    <w:rsid w:val="009F19E4"/>
    <w:rsid w:val="009F2023"/>
    <w:rsid w:val="009F382E"/>
    <w:rsid w:val="009F3ACA"/>
    <w:rsid w:val="009F4A03"/>
    <w:rsid w:val="009F6A70"/>
    <w:rsid w:val="009F75BB"/>
    <w:rsid w:val="009F77EF"/>
    <w:rsid w:val="00A0103E"/>
    <w:rsid w:val="00A0287E"/>
    <w:rsid w:val="00A032BA"/>
    <w:rsid w:val="00A0411B"/>
    <w:rsid w:val="00A06CE5"/>
    <w:rsid w:val="00A12CBF"/>
    <w:rsid w:val="00A14707"/>
    <w:rsid w:val="00A20AA5"/>
    <w:rsid w:val="00A25109"/>
    <w:rsid w:val="00A25367"/>
    <w:rsid w:val="00A2563A"/>
    <w:rsid w:val="00A301F4"/>
    <w:rsid w:val="00A314AF"/>
    <w:rsid w:val="00A321EC"/>
    <w:rsid w:val="00A35114"/>
    <w:rsid w:val="00A362B5"/>
    <w:rsid w:val="00A37B3D"/>
    <w:rsid w:val="00A40288"/>
    <w:rsid w:val="00A4046D"/>
    <w:rsid w:val="00A40E98"/>
    <w:rsid w:val="00A42A8C"/>
    <w:rsid w:val="00A4663C"/>
    <w:rsid w:val="00A511A2"/>
    <w:rsid w:val="00A51CC7"/>
    <w:rsid w:val="00A548E2"/>
    <w:rsid w:val="00A54B82"/>
    <w:rsid w:val="00A5653E"/>
    <w:rsid w:val="00A60B67"/>
    <w:rsid w:val="00A6359E"/>
    <w:rsid w:val="00A6362D"/>
    <w:rsid w:val="00A6371B"/>
    <w:rsid w:val="00A648D5"/>
    <w:rsid w:val="00A64A26"/>
    <w:rsid w:val="00A64C22"/>
    <w:rsid w:val="00A653DC"/>
    <w:rsid w:val="00A662C9"/>
    <w:rsid w:val="00A67A82"/>
    <w:rsid w:val="00A708CE"/>
    <w:rsid w:val="00A70CB0"/>
    <w:rsid w:val="00A74952"/>
    <w:rsid w:val="00A75088"/>
    <w:rsid w:val="00A80019"/>
    <w:rsid w:val="00A808E1"/>
    <w:rsid w:val="00A82024"/>
    <w:rsid w:val="00A82255"/>
    <w:rsid w:val="00A832BE"/>
    <w:rsid w:val="00A838F6"/>
    <w:rsid w:val="00A848AC"/>
    <w:rsid w:val="00A87379"/>
    <w:rsid w:val="00A91484"/>
    <w:rsid w:val="00A92C76"/>
    <w:rsid w:val="00A936BD"/>
    <w:rsid w:val="00A93C9E"/>
    <w:rsid w:val="00A93DE5"/>
    <w:rsid w:val="00A942CC"/>
    <w:rsid w:val="00A965CE"/>
    <w:rsid w:val="00A96914"/>
    <w:rsid w:val="00A97EC8"/>
    <w:rsid w:val="00AA0BD1"/>
    <w:rsid w:val="00AA13A6"/>
    <w:rsid w:val="00AA13F3"/>
    <w:rsid w:val="00AA29B2"/>
    <w:rsid w:val="00AA6292"/>
    <w:rsid w:val="00AA7731"/>
    <w:rsid w:val="00AB02B5"/>
    <w:rsid w:val="00AB05C3"/>
    <w:rsid w:val="00AB4D6A"/>
    <w:rsid w:val="00AB539E"/>
    <w:rsid w:val="00AB53C4"/>
    <w:rsid w:val="00AB76CA"/>
    <w:rsid w:val="00AB7F84"/>
    <w:rsid w:val="00AC5A8D"/>
    <w:rsid w:val="00AC6076"/>
    <w:rsid w:val="00AC648C"/>
    <w:rsid w:val="00AC7E34"/>
    <w:rsid w:val="00AC7FFB"/>
    <w:rsid w:val="00AD04A8"/>
    <w:rsid w:val="00AD101F"/>
    <w:rsid w:val="00AD22D0"/>
    <w:rsid w:val="00AD3915"/>
    <w:rsid w:val="00AD5F41"/>
    <w:rsid w:val="00AD6598"/>
    <w:rsid w:val="00AE0B61"/>
    <w:rsid w:val="00AE0DC9"/>
    <w:rsid w:val="00AE1793"/>
    <w:rsid w:val="00AE21AF"/>
    <w:rsid w:val="00AE2D59"/>
    <w:rsid w:val="00AE3A60"/>
    <w:rsid w:val="00AE5192"/>
    <w:rsid w:val="00AE60CF"/>
    <w:rsid w:val="00AE7596"/>
    <w:rsid w:val="00AE7E0D"/>
    <w:rsid w:val="00AF077B"/>
    <w:rsid w:val="00AF08DA"/>
    <w:rsid w:val="00AF0B8F"/>
    <w:rsid w:val="00AF3B09"/>
    <w:rsid w:val="00AF5E99"/>
    <w:rsid w:val="00B01DEB"/>
    <w:rsid w:val="00B025BF"/>
    <w:rsid w:val="00B02B10"/>
    <w:rsid w:val="00B03840"/>
    <w:rsid w:val="00B045FB"/>
    <w:rsid w:val="00B07FE7"/>
    <w:rsid w:val="00B10101"/>
    <w:rsid w:val="00B10E6C"/>
    <w:rsid w:val="00B112D9"/>
    <w:rsid w:val="00B119EA"/>
    <w:rsid w:val="00B11F34"/>
    <w:rsid w:val="00B12972"/>
    <w:rsid w:val="00B12EAB"/>
    <w:rsid w:val="00B13564"/>
    <w:rsid w:val="00B14F80"/>
    <w:rsid w:val="00B14FC2"/>
    <w:rsid w:val="00B15C01"/>
    <w:rsid w:val="00B17054"/>
    <w:rsid w:val="00B21B11"/>
    <w:rsid w:val="00B25CCF"/>
    <w:rsid w:val="00B264F1"/>
    <w:rsid w:val="00B30536"/>
    <w:rsid w:val="00B348B3"/>
    <w:rsid w:val="00B36167"/>
    <w:rsid w:val="00B40259"/>
    <w:rsid w:val="00B424E5"/>
    <w:rsid w:val="00B44B30"/>
    <w:rsid w:val="00B44DAF"/>
    <w:rsid w:val="00B45351"/>
    <w:rsid w:val="00B45958"/>
    <w:rsid w:val="00B46C6D"/>
    <w:rsid w:val="00B47B44"/>
    <w:rsid w:val="00B51F48"/>
    <w:rsid w:val="00B52971"/>
    <w:rsid w:val="00B53379"/>
    <w:rsid w:val="00B5392B"/>
    <w:rsid w:val="00B5434B"/>
    <w:rsid w:val="00B5566E"/>
    <w:rsid w:val="00B5593F"/>
    <w:rsid w:val="00B5659A"/>
    <w:rsid w:val="00B60048"/>
    <w:rsid w:val="00B6199B"/>
    <w:rsid w:val="00B631A2"/>
    <w:rsid w:val="00B63826"/>
    <w:rsid w:val="00B6415B"/>
    <w:rsid w:val="00B64684"/>
    <w:rsid w:val="00B660E1"/>
    <w:rsid w:val="00B70587"/>
    <w:rsid w:val="00B70D7F"/>
    <w:rsid w:val="00B718ED"/>
    <w:rsid w:val="00B72A6B"/>
    <w:rsid w:val="00B73863"/>
    <w:rsid w:val="00B768F7"/>
    <w:rsid w:val="00B80805"/>
    <w:rsid w:val="00B80C69"/>
    <w:rsid w:val="00B85B8B"/>
    <w:rsid w:val="00B9205E"/>
    <w:rsid w:val="00B93F4C"/>
    <w:rsid w:val="00B94BFD"/>
    <w:rsid w:val="00B94EEA"/>
    <w:rsid w:val="00B97C1E"/>
    <w:rsid w:val="00BA1FBB"/>
    <w:rsid w:val="00BA4520"/>
    <w:rsid w:val="00BA67C4"/>
    <w:rsid w:val="00BA7078"/>
    <w:rsid w:val="00BA7C7B"/>
    <w:rsid w:val="00BB04E1"/>
    <w:rsid w:val="00BB0815"/>
    <w:rsid w:val="00BB720F"/>
    <w:rsid w:val="00BC03A7"/>
    <w:rsid w:val="00BC0696"/>
    <w:rsid w:val="00BC19BB"/>
    <w:rsid w:val="00BC238D"/>
    <w:rsid w:val="00BC489D"/>
    <w:rsid w:val="00BC7F29"/>
    <w:rsid w:val="00BD07F0"/>
    <w:rsid w:val="00BD0D25"/>
    <w:rsid w:val="00BD56DB"/>
    <w:rsid w:val="00BD6989"/>
    <w:rsid w:val="00BD7822"/>
    <w:rsid w:val="00BE08F9"/>
    <w:rsid w:val="00BE0E25"/>
    <w:rsid w:val="00BE1B6C"/>
    <w:rsid w:val="00BE34C8"/>
    <w:rsid w:val="00BE3E21"/>
    <w:rsid w:val="00BE4226"/>
    <w:rsid w:val="00BE4F19"/>
    <w:rsid w:val="00BE6686"/>
    <w:rsid w:val="00BF00E1"/>
    <w:rsid w:val="00BF09C5"/>
    <w:rsid w:val="00BF1105"/>
    <w:rsid w:val="00BF2BB2"/>
    <w:rsid w:val="00BF58B0"/>
    <w:rsid w:val="00BF7BA6"/>
    <w:rsid w:val="00C02088"/>
    <w:rsid w:val="00C022F4"/>
    <w:rsid w:val="00C02FE2"/>
    <w:rsid w:val="00C03C89"/>
    <w:rsid w:val="00C04B59"/>
    <w:rsid w:val="00C05E2D"/>
    <w:rsid w:val="00C12949"/>
    <w:rsid w:val="00C13780"/>
    <w:rsid w:val="00C208DB"/>
    <w:rsid w:val="00C226F1"/>
    <w:rsid w:val="00C22EF1"/>
    <w:rsid w:val="00C2326E"/>
    <w:rsid w:val="00C253B9"/>
    <w:rsid w:val="00C25C89"/>
    <w:rsid w:val="00C26726"/>
    <w:rsid w:val="00C27624"/>
    <w:rsid w:val="00C31B8A"/>
    <w:rsid w:val="00C329BB"/>
    <w:rsid w:val="00C33274"/>
    <w:rsid w:val="00C33E52"/>
    <w:rsid w:val="00C35D4D"/>
    <w:rsid w:val="00C3795D"/>
    <w:rsid w:val="00C37FC2"/>
    <w:rsid w:val="00C40695"/>
    <w:rsid w:val="00C40D57"/>
    <w:rsid w:val="00C4330B"/>
    <w:rsid w:val="00C4437C"/>
    <w:rsid w:val="00C46386"/>
    <w:rsid w:val="00C51083"/>
    <w:rsid w:val="00C51C7E"/>
    <w:rsid w:val="00C51CBB"/>
    <w:rsid w:val="00C51E70"/>
    <w:rsid w:val="00C525AC"/>
    <w:rsid w:val="00C5293C"/>
    <w:rsid w:val="00C53B82"/>
    <w:rsid w:val="00C546EB"/>
    <w:rsid w:val="00C56B4B"/>
    <w:rsid w:val="00C5766B"/>
    <w:rsid w:val="00C57C5F"/>
    <w:rsid w:val="00C57CF9"/>
    <w:rsid w:val="00C60AEA"/>
    <w:rsid w:val="00C61C25"/>
    <w:rsid w:val="00C61CB7"/>
    <w:rsid w:val="00C61E4D"/>
    <w:rsid w:val="00C62043"/>
    <w:rsid w:val="00C65561"/>
    <w:rsid w:val="00C66664"/>
    <w:rsid w:val="00C67AF2"/>
    <w:rsid w:val="00C67EFA"/>
    <w:rsid w:val="00C70774"/>
    <w:rsid w:val="00C71473"/>
    <w:rsid w:val="00C71705"/>
    <w:rsid w:val="00C7212A"/>
    <w:rsid w:val="00C728E0"/>
    <w:rsid w:val="00C72EC7"/>
    <w:rsid w:val="00C73404"/>
    <w:rsid w:val="00C73A45"/>
    <w:rsid w:val="00C74E25"/>
    <w:rsid w:val="00C80BEF"/>
    <w:rsid w:val="00C80EAF"/>
    <w:rsid w:val="00C83FA9"/>
    <w:rsid w:val="00C84255"/>
    <w:rsid w:val="00C84704"/>
    <w:rsid w:val="00C84A42"/>
    <w:rsid w:val="00C86C3A"/>
    <w:rsid w:val="00C87D81"/>
    <w:rsid w:val="00C91FE1"/>
    <w:rsid w:val="00C92329"/>
    <w:rsid w:val="00C926BB"/>
    <w:rsid w:val="00C93698"/>
    <w:rsid w:val="00C936D7"/>
    <w:rsid w:val="00C9373E"/>
    <w:rsid w:val="00C9414C"/>
    <w:rsid w:val="00C943AE"/>
    <w:rsid w:val="00C94C90"/>
    <w:rsid w:val="00C95550"/>
    <w:rsid w:val="00C95BF4"/>
    <w:rsid w:val="00C96AE9"/>
    <w:rsid w:val="00C97354"/>
    <w:rsid w:val="00CA088F"/>
    <w:rsid w:val="00CA0964"/>
    <w:rsid w:val="00CA57EB"/>
    <w:rsid w:val="00CA73C3"/>
    <w:rsid w:val="00CA7C9A"/>
    <w:rsid w:val="00CB04E7"/>
    <w:rsid w:val="00CB2A4A"/>
    <w:rsid w:val="00CB386B"/>
    <w:rsid w:val="00CB40F7"/>
    <w:rsid w:val="00CB42D9"/>
    <w:rsid w:val="00CB59DB"/>
    <w:rsid w:val="00CB5D94"/>
    <w:rsid w:val="00CB5DE0"/>
    <w:rsid w:val="00CB6069"/>
    <w:rsid w:val="00CB68CD"/>
    <w:rsid w:val="00CB6B75"/>
    <w:rsid w:val="00CB6B9E"/>
    <w:rsid w:val="00CB73C5"/>
    <w:rsid w:val="00CB788C"/>
    <w:rsid w:val="00CC116A"/>
    <w:rsid w:val="00CC3E09"/>
    <w:rsid w:val="00CC544E"/>
    <w:rsid w:val="00CC5594"/>
    <w:rsid w:val="00CC55BE"/>
    <w:rsid w:val="00CC601E"/>
    <w:rsid w:val="00CC7539"/>
    <w:rsid w:val="00CD1ED6"/>
    <w:rsid w:val="00CD2443"/>
    <w:rsid w:val="00CD3016"/>
    <w:rsid w:val="00CD3FD1"/>
    <w:rsid w:val="00CD4B6D"/>
    <w:rsid w:val="00CD644D"/>
    <w:rsid w:val="00CE0923"/>
    <w:rsid w:val="00CE2179"/>
    <w:rsid w:val="00CE2181"/>
    <w:rsid w:val="00CE2C2D"/>
    <w:rsid w:val="00CE380B"/>
    <w:rsid w:val="00CE3A8C"/>
    <w:rsid w:val="00CE441D"/>
    <w:rsid w:val="00CE6B1D"/>
    <w:rsid w:val="00CE73F3"/>
    <w:rsid w:val="00CE750E"/>
    <w:rsid w:val="00CE7D5A"/>
    <w:rsid w:val="00CE7E1E"/>
    <w:rsid w:val="00CF0D6E"/>
    <w:rsid w:val="00CF0E9E"/>
    <w:rsid w:val="00CF14C0"/>
    <w:rsid w:val="00CF2266"/>
    <w:rsid w:val="00CF3853"/>
    <w:rsid w:val="00CF6DB3"/>
    <w:rsid w:val="00CF7794"/>
    <w:rsid w:val="00D02EB0"/>
    <w:rsid w:val="00D03F74"/>
    <w:rsid w:val="00D05EB9"/>
    <w:rsid w:val="00D0774E"/>
    <w:rsid w:val="00D0787A"/>
    <w:rsid w:val="00D13B76"/>
    <w:rsid w:val="00D13DC3"/>
    <w:rsid w:val="00D14505"/>
    <w:rsid w:val="00D1575D"/>
    <w:rsid w:val="00D15A90"/>
    <w:rsid w:val="00D16AA2"/>
    <w:rsid w:val="00D20B9C"/>
    <w:rsid w:val="00D20C13"/>
    <w:rsid w:val="00D258E4"/>
    <w:rsid w:val="00D26414"/>
    <w:rsid w:val="00D2698F"/>
    <w:rsid w:val="00D26EF0"/>
    <w:rsid w:val="00D3297B"/>
    <w:rsid w:val="00D32DBA"/>
    <w:rsid w:val="00D332E4"/>
    <w:rsid w:val="00D34C5C"/>
    <w:rsid w:val="00D34EF4"/>
    <w:rsid w:val="00D4111B"/>
    <w:rsid w:val="00D414C1"/>
    <w:rsid w:val="00D42CD8"/>
    <w:rsid w:val="00D433FD"/>
    <w:rsid w:val="00D45DB0"/>
    <w:rsid w:val="00D4715C"/>
    <w:rsid w:val="00D471C4"/>
    <w:rsid w:val="00D50313"/>
    <w:rsid w:val="00D5274E"/>
    <w:rsid w:val="00D54727"/>
    <w:rsid w:val="00D54C71"/>
    <w:rsid w:val="00D5582E"/>
    <w:rsid w:val="00D56027"/>
    <w:rsid w:val="00D56E7C"/>
    <w:rsid w:val="00D6374C"/>
    <w:rsid w:val="00D6535C"/>
    <w:rsid w:val="00D66D13"/>
    <w:rsid w:val="00D67535"/>
    <w:rsid w:val="00D6783B"/>
    <w:rsid w:val="00D70CCC"/>
    <w:rsid w:val="00D71C6E"/>
    <w:rsid w:val="00D72CD1"/>
    <w:rsid w:val="00D742DD"/>
    <w:rsid w:val="00D74692"/>
    <w:rsid w:val="00D74BBE"/>
    <w:rsid w:val="00D75636"/>
    <w:rsid w:val="00D757E0"/>
    <w:rsid w:val="00D76E40"/>
    <w:rsid w:val="00D80040"/>
    <w:rsid w:val="00D8099A"/>
    <w:rsid w:val="00D81D41"/>
    <w:rsid w:val="00D83690"/>
    <w:rsid w:val="00D84FD2"/>
    <w:rsid w:val="00D859A7"/>
    <w:rsid w:val="00D8739C"/>
    <w:rsid w:val="00D87E83"/>
    <w:rsid w:val="00D9295C"/>
    <w:rsid w:val="00D92FB9"/>
    <w:rsid w:val="00D9355C"/>
    <w:rsid w:val="00D9386D"/>
    <w:rsid w:val="00D938A2"/>
    <w:rsid w:val="00D94030"/>
    <w:rsid w:val="00D94143"/>
    <w:rsid w:val="00D9775B"/>
    <w:rsid w:val="00DA0C9B"/>
    <w:rsid w:val="00DA0E48"/>
    <w:rsid w:val="00DA1F24"/>
    <w:rsid w:val="00DA26E9"/>
    <w:rsid w:val="00DA2BEA"/>
    <w:rsid w:val="00DA2E99"/>
    <w:rsid w:val="00DA394F"/>
    <w:rsid w:val="00DA39A9"/>
    <w:rsid w:val="00DA414B"/>
    <w:rsid w:val="00DA4CA4"/>
    <w:rsid w:val="00DA7708"/>
    <w:rsid w:val="00DA773A"/>
    <w:rsid w:val="00DA7B55"/>
    <w:rsid w:val="00DB0845"/>
    <w:rsid w:val="00DB25A6"/>
    <w:rsid w:val="00DB39D6"/>
    <w:rsid w:val="00DB43E3"/>
    <w:rsid w:val="00DB53DE"/>
    <w:rsid w:val="00DB5FC7"/>
    <w:rsid w:val="00DB738B"/>
    <w:rsid w:val="00DB7A00"/>
    <w:rsid w:val="00DB7D59"/>
    <w:rsid w:val="00DC068B"/>
    <w:rsid w:val="00DC08AC"/>
    <w:rsid w:val="00DC3074"/>
    <w:rsid w:val="00DD0650"/>
    <w:rsid w:val="00DD1CBB"/>
    <w:rsid w:val="00DD3CB8"/>
    <w:rsid w:val="00DD3CE2"/>
    <w:rsid w:val="00DD523B"/>
    <w:rsid w:val="00DD5C05"/>
    <w:rsid w:val="00DD6ABB"/>
    <w:rsid w:val="00DD72C3"/>
    <w:rsid w:val="00DD7C41"/>
    <w:rsid w:val="00DE0AEF"/>
    <w:rsid w:val="00DE1164"/>
    <w:rsid w:val="00DE3CAC"/>
    <w:rsid w:val="00DE52AE"/>
    <w:rsid w:val="00DE56FC"/>
    <w:rsid w:val="00DE6D95"/>
    <w:rsid w:val="00DE70B6"/>
    <w:rsid w:val="00DF0521"/>
    <w:rsid w:val="00DF183C"/>
    <w:rsid w:val="00DF283C"/>
    <w:rsid w:val="00DF56A7"/>
    <w:rsid w:val="00E037BE"/>
    <w:rsid w:val="00E048F5"/>
    <w:rsid w:val="00E05198"/>
    <w:rsid w:val="00E05D40"/>
    <w:rsid w:val="00E063BD"/>
    <w:rsid w:val="00E066A6"/>
    <w:rsid w:val="00E06B52"/>
    <w:rsid w:val="00E07179"/>
    <w:rsid w:val="00E07648"/>
    <w:rsid w:val="00E107FF"/>
    <w:rsid w:val="00E10A0F"/>
    <w:rsid w:val="00E10C29"/>
    <w:rsid w:val="00E11194"/>
    <w:rsid w:val="00E12750"/>
    <w:rsid w:val="00E14B67"/>
    <w:rsid w:val="00E15A53"/>
    <w:rsid w:val="00E16B00"/>
    <w:rsid w:val="00E2030A"/>
    <w:rsid w:val="00E21630"/>
    <w:rsid w:val="00E22D51"/>
    <w:rsid w:val="00E232F1"/>
    <w:rsid w:val="00E268EC"/>
    <w:rsid w:val="00E2726F"/>
    <w:rsid w:val="00E3164D"/>
    <w:rsid w:val="00E31D09"/>
    <w:rsid w:val="00E32DAB"/>
    <w:rsid w:val="00E3396F"/>
    <w:rsid w:val="00E3429C"/>
    <w:rsid w:val="00E346D6"/>
    <w:rsid w:val="00E35722"/>
    <w:rsid w:val="00E37EB9"/>
    <w:rsid w:val="00E40C9B"/>
    <w:rsid w:val="00E423DC"/>
    <w:rsid w:val="00E424F1"/>
    <w:rsid w:val="00E42BCC"/>
    <w:rsid w:val="00E43782"/>
    <w:rsid w:val="00E45022"/>
    <w:rsid w:val="00E45066"/>
    <w:rsid w:val="00E53890"/>
    <w:rsid w:val="00E538C4"/>
    <w:rsid w:val="00E607AF"/>
    <w:rsid w:val="00E611B0"/>
    <w:rsid w:val="00E6121B"/>
    <w:rsid w:val="00E63842"/>
    <w:rsid w:val="00E65642"/>
    <w:rsid w:val="00E6564C"/>
    <w:rsid w:val="00E664FF"/>
    <w:rsid w:val="00E67F65"/>
    <w:rsid w:val="00E70072"/>
    <w:rsid w:val="00E708F9"/>
    <w:rsid w:val="00E72E74"/>
    <w:rsid w:val="00E74C9D"/>
    <w:rsid w:val="00E74F2B"/>
    <w:rsid w:val="00E75619"/>
    <w:rsid w:val="00E82115"/>
    <w:rsid w:val="00E82B00"/>
    <w:rsid w:val="00E84BFA"/>
    <w:rsid w:val="00E86110"/>
    <w:rsid w:val="00E863C5"/>
    <w:rsid w:val="00E8672B"/>
    <w:rsid w:val="00E86CA2"/>
    <w:rsid w:val="00E870B0"/>
    <w:rsid w:val="00E873BF"/>
    <w:rsid w:val="00E87CF7"/>
    <w:rsid w:val="00E90503"/>
    <w:rsid w:val="00E90A31"/>
    <w:rsid w:val="00E9167C"/>
    <w:rsid w:val="00E920F1"/>
    <w:rsid w:val="00E92AB1"/>
    <w:rsid w:val="00E96B76"/>
    <w:rsid w:val="00EA0388"/>
    <w:rsid w:val="00EA298C"/>
    <w:rsid w:val="00EA4E1F"/>
    <w:rsid w:val="00EA6892"/>
    <w:rsid w:val="00EA6A6D"/>
    <w:rsid w:val="00EB014B"/>
    <w:rsid w:val="00EB0C1F"/>
    <w:rsid w:val="00EB1573"/>
    <w:rsid w:val="00EB55F3"/>
    <w:rsid w:val="00EB5A0A"/>
    <w:rsid w:val="00EC0012"/>
    <w:rsid w:val="00EC02A6"/>
    <w:rsid w:val="00EC1815"/>
    <w:rsid w:val="00EC290B"/>
    <w:rsid w:val="00EC4733"/>
    <w:rsid w:val="00EC47A1"/>
    <w:rsid w:val="00EC56E6"/>
    <w:rsid w:val="00EC59CD"/>
    <w:rsid w:val="00ED1B6F"/>
    <w:rsid w:val="00ED3D36"/>
    <w:rsid w:val="00ED3EFC"/>
    <w:rsid w:val="00ED4303"/>
    <w:rsid w:val="00ED5806"/>
    <w:rsid w:val="00ED7798"/>
    <w:rsid w:val="00EE23A6"/>
    <w:rsid w:val="00EE3B8D"/>
    <w:rsid w:val="00EE4CC4"/>
    <w:rsid w:val="00EE4E77"/>
    <w:rsid w:val="00EE4F38"/>
    <w:rsid w:val="00EE66F5"/>
    <w:rsid w:val="00EF0ACE"/>
    <w:rsid w:val="00EF1D2D"/>
    <w:rsid w:val="00EF23C3"/>
    <w:rsid w:val="00EF3B54"/>
    <w:rsid w:val="00EF79DB"/>
    <w:rsid w:val="00F027E5"/>
    <w:rsid w:val="00F046FE"/>
    <w:rsid w:val="00F05FF5"/>
    <w:rsid w:val="00F06437"/>
    <w:rsid w:val="00F1132C"/>
    <w:rsid w:val="00F11610"/>
    <w:rsid w:val="00F12A78"/>
    <w:rsid w:val="00F145FB"/>
    <w:rsid w:val="00F1562E"/>
    <w:rsid w:val="00F1597A"/>
    <w:rsid w:val="00F30EF8"/>
    <w:rsid w:val="00F3452A"/>
    <w:rsid w:val="00F3510F"/>
    <w:rsid w:val="00F354A1"/>
    <w:rsid w:val="00F3660E"/>
    <w:rsid w:val="00F37045"/>
    <w:rsid w:val="00F43646"/>
    <w:rsid w:val="00F469C8"/>
    <w:rsid w:val="00F46CDA"/>
    <w:rsid w:val="00F525E9"/>
    <w:rsid w:val="00F5311E"/>
    <w:rsid w:val="00F53266"/>
    <w:rsid w:val="00F53353"/>
    <w:rsid w:val="00F53734"/>
    <w:rsid w:val="00F53DA5"/>
    <w:rsid w:val="00F551CB"/>
    <w:rsid w:val="00F571FC"/>
    <w:rsid w:val="00F61CCF"/>
    <w:rsid w:val="00F627CC"/>
    <w:rsid w:val="00F632D6"/>
    <w:rsid w:val="00F64988"/>
    <w:rsid w:val="00F66020"/>
    <w:rsid w:val="00F67CAC"/>
    <w:rsid w:val="00F70645"/>
    <w:rsid w:val="00F71B85"/>
    <w:rsid w:val="00F72BA9"/>
    <w:rsid w:val="00F73FB6"/>
    <w:rsid w:val="00F74E9D"/>
    <w:rsid w:val="00F75CF2"/>
    <w:rsid w:val="00F80060"/>
    <w:rsid w:val="00F80A17"/>
    <w:rsid w:val="00F8546E"/>
    <w:rsid w:val="00F85D60"/>
    <w:rsid w:val="00F870FC"/>
    <w:rsid w:val="00F8751E"/>
    <w:rsid w:val="00F87B49"/>
    <w:rsid w:val="00F900F5"/>
    <w:rsid w:val="00F93140"/>
    <w:rsid w:val="00F936F5"/>
    <w:rsid w:val="00F94F68"/>
    <w:rsid w:val="00F968E6"/>
    <w:rsid w:val="00F96CF5"/>
    <w:rsid w:val="00F979DF"/>
    <w:rsid w:val="00FA109B"/>
    <w:rsid w:val="00FA278B"/>
    <w:rsid w:val="00FA4FA6"/>
    <w:rsid w:val="00FA622D"/>
    <w:rsid w:val="00FA7396"/>
    <w:rsid w:val="00FB056A"/>
    <w:rsid w:val="00FB0FAE"/>
    <w:rsid w:val="00FB1A34"/>
    <w:rsid w:val="00FB323C"/>
    <w:rsid w:val="00FB3977"/>
    <w:rsid w:val="00FB3C7B"/>
    <w:rsid w:val="00FB5182"/>
    <w:rsid w:val="00FB55AB"/>
    <w:rsid w:val="00FB799C"/>
    <w:rsid w:val="00FC07CB"/>
    <w:rsid w:val="00FC2021"/>
    <w:rsid w:val="00FC282A"/>
    <w:rsid w:val="00FC2929"/>
    <w:rsid w:val="00FC33F5"/>
    <w:rsid w:val="00FC51B7"/>
    <w:rsid w:val="00FC51DA"/>
    <w:rsid w:val="00FC5DC4"/>
    <w:rsid w:val="00FC72ED"/>
    <w:rsid w:val="00FC7716"/>
    <w:rsid w:val="00FC7C6D"/>
    <w:rsid w:val="00FD00D4"/>
    <w:rsid w:val="00FD1136"/>
    <w:rsid w:val="00FD3F03"/>
    <w:rsid w:val="00FD4454"/>
    <w:rsid w:val="00FD467F"/>
    <w:rsid w:val="00FD483B"/>
    <w:rsid w:val="00FD53DA"/>
    <w:rsid w:val="00FE1A26"/>
    <w:rsid w:val="00FE2189"/>
    <w:rsid w:val="00FE3622"/>
    <w:rsid w:val="00FE40FE"/>
    <w:rsid w:val="00FE475F"/>
    <w:rsid w:val="00FE4A67"/>
    <w:rsid w:val="00FE4AD0"/>
    <w:rsid w:val="00FE4B36"/>
    <w:rsid w:val="00FE5088"/>
    <w:rsid w:val="00FE5D0B"/>
    <w:rsid w:val="00FE601B"/>
    <w:rsid w:val="00FE7B6F"/>
    <w:rsid w:val="00FF4FC5"/>
    <w:rsid w:val="00FF545D"/>
    <w:rsid w:val="00FF784B"/>
    <w:rsid w:val="00FF7B1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F1B4D"/>
  <w15:docId w15:val="{491804DF-041C-4532-9DC4-38BF0ED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C2A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3A82"/>
    <w:p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53D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860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8A1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C7F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53D37"/>
    <w:rPr>
      <w:rFonts w:ascii="Arial" w:hAnsi="Arial" w:cs="Times New Roman"/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86070"/>
    <w:rPr>
      <w:rFonts w:ascii="Cambria" w:hAnsi="Cambria" w:cs="Times New Roman"/>
      <w:b/>
      <w:sz w:val="26"/>
      <w:lang w:eastAsia="en-US"/>
    </w:rPr>
  </w:style>
  <w:style w:type="paragraph" w:styleId="lfej">
    <w:name w:val="header"/>
    <w:basedOn w:val="Norml"/>
    <w:link w:val="lfejChar"/>
    <w:uiPriority w:val="99"/>
    <w:rsid w:val="00853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853D37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6B3962"/>
    <w:pPr>
      <w:ind w:left="720"/>
      <w:contextualSpacing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iPriority w:val="99"/>
    <w:rsid w:val="006B396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B3962"/>
    <w:rPr>
      <w:rFonts w:ascii="Calibri" w:hAnsi="Calibri" w:cs="Times New Roman"/>
      <w:sz w:val="22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D3E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4C7F36"/>
    <w:rPr>
      <w:rFonts w:cs="Times New Roman"/>
      <w:sz w:val="16"/>
      <w:szCs w:val="16"/>
      <w:lang w:eastAsia="en-US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DB5FC7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DB5FC7"/>
    <w:rPr>
      <w:rFonts w:ascii="Times New Roman" w:hAnsi="Times New Roman" w:cs="Times New Roman"/>
      <w:i/>
      <w:sz w:val="24"/>
    </w:rPr>
  </w:style>
  <w:style w:type="character" w:styleId="Oldalszm">
    <w:name w:val="page number"/>
    <w:basedOn w:val="Bekezdsalapbettpusa"/>
    <w:uiPriority w:val="99"/>
    <w:rsid w:val="00DB5FC7"/>
    <w:rPr>
      <w:rFonts w:cs="Times New Roman"/>
    </w:rPr>
  </w:style>
  <w:style w:type="character" w:styleId="Hiperhivatkozs">
    <w:name w:val="Hyperlink"/>
    <w:basedOn w:val="Bekezdsalapbettpusa"/>
    <w:uiPriority w:val="99"/>
    <w:rsid w:val="00AA7731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586154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586154"/>
    <w:rPr>
      <w:rFonts w:ascii="Courier New" w:hAnsi="Courier New" w:cs="Times New Roman"/>
    </w:rPr>
  </w:style>
  <w:style w:type="paragraph" w:styleId="NormlWeb">
    <w:name w:val="Normal (Web)"/>
    <w:basedOn w:val="Norml"/>
    <w:uiPriority w:val="99"/>
    <w:rsid w:val="0058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harChar7">
    <w:name w:val="Char Char7"/>
    <w:uiPriority w:val="99"/>
    <w:locked/>
    <w:rsid w:val="00114A2C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1B12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B1207"/>
    <w:rPr>
      <w:rFonts w:cs="Times New Roman"/>
      <w:sz w:val="22"/>
      <w:lang w:eastAsia="en-US"/>
    </w:rPr>
  </w:style>
  <w:style w:type="character" w:customStyle="1" w:styleId="apple-style-span">
    <w:name w:val="apple-style-span"/>
    <w:basedOn w:val="Bekezdsalapbettpusa"/>
    <w:uiPriority w:val="99"/>
    <w:rsid w:val="002B508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900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900F5"/>
    <w:rPr>
      <w:rFonts w:ascii="Tahoma" w:hAnsi="Tahoma" w:cs="Times New Roman"/>
      <w:sz w:val="16"/>
      <w:lang w:eastAsia="en-US"/>
    </w:rPr>
  </w:style>
  <w:style w:type="character" w:customStyle="1" w:styleId="section-info-text">
    <w:name w:val="section-info-text"/>
    <w:uiPriority w:val="99"/>
    <w:rsid w:val="009D107B"/>
  </w:style>
  <w:style w:type="paragraph" w:styleId="TJ1">
    <w:name w:val="toc 1"/>
    <w:basedOn w:val="Norml"/>
    <w:next w:val="Norml"/>
    <w:autoRedefine/>
    <w:uiPriority w:val="99"/>
    <w:rsid w:val="005E72B1"/>
    <w:pPr>
      <w:tabs>
        <w:tab w:val="right" w:leader="dot" w:pos="9062"/>
      </w:tabs>
      <w:spacing w:after="120" w:line="240" w:lineRule="atLeast"/>
    </w:pPr>
    <w:rPr>
      <w:rFonts w:ascii="Times New Roman" w:hAnsi="Times New Roman"/>
      <w:noProof/>
      <w:sz w:val="24"/>
      <w:szCs w:val="24"/>
    </w:rPr>
  </w:style>
  <w:style w:type="paragraph" w:customStyle="1" w:styleId="TableParagraph">
    <w:name w:val="Table Paragraph"/>
    <w:basedOn w:val="Norml"/>
    <w:uiPriority w:val="99"/>
    <w:rsid w:val="00032EE7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4D7C3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D7C3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D7C36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D7C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D7C36"/>
    <w:rPr>
      <w:rFonts w:cs="Times New Roman"/>
      <w:b/>
      <w:lang w:eastAsia="en-US"/>
    </w:rPr>
  </w:style>
  <w:style w:type="character" w:customStyle="1" w:styleId="Cmsor4Char">
    <w:name w:val="Címsor 4 Char"/>
    <w:basedOn w:val="Bekezdsalapbettpusa"/>
    <w:link w:val="Cmsor4"/>
    <w:rsid w:val="008A10A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8A1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8A10A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Rcsostblzat">
    <w:name w:val="Table Grid"/>
    <w:basedOn w:val="Normltblzat"/>
    <w:uiPriority w:val="59"/>
    <w:locked/>
    <w:rsid w:val="00A74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1743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Pest%20MKI\KVK-&#201;RD\K&#246;z&#246;s\NAGY%20L\Besz&#225;mol&#243;\2023\Statisztik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Pest%20MKI\KVK-&#201;RD\K&#246;z&#246;s\NAGY%20L\Besz&#225;mol&#243;\2023\Statisztik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Pest%20MKI\KVK-&#201;RD\K&#246;z&#246;s\NAGY%20L\Besz&#225;mol&#243;\2023\Statisztik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L:\Pest%20MKI\KVK-&#201;RD\K&#246;z&#246;s\NAGY%20L\Besz&#225;mol&#243;\2023\Statisztik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Tűzesetek - beavatkozás</a:t>
            </a:r>
            <a:r>
              <a:rPr lang="hu-HU" baseline="0"/>
              <a:t> igénye szerint</a:t>
            </a:r>
            <a:endParaRPr lang="hu-H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40"/>
      <c:rotY val="9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3"/>
          <c:order val="0"/>
          <c:tx>
            <c:strRef>
              <c:f>Tűz!$F$1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Tűz!$A$2:$A$6</c:f>
              <c:strCache>
                <c:ptCount val="5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Szándékosan megtévesztő jelzés</c:v>
                </c:pt>
                <c:pt idx="3">
                  <c:v>Téves jelzés</c:v>
                </c:pt>
                <c:pt idx="4">
                  <c:v>Utólagos jelzés</c:v>
                </c:pt>
              </c:strCache>
            </c:strRef>
          </c:cat>
          <c:val>
            <c:numRef>
              <c:f>Tűz!$F$2:$F$6</c:f>
              <c:numCache>
                <c:formatCode>General</c:formatCode>
                <c:ptCount val="5"/>
                <c:pt idx="0">
                  <c:v>304</c:v>
                </c:pt>
                <c:pt idx="1">
                  <c:v>109</c:v>
                </c:pt>
                <c:pt idx="2">
                  <c:v>3</c:v>
                </c:pt>
                <c:pt idx="3">
                  <c:v>343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E5-432A-ADF2-32074F68A5FE}"/>
            </c:ext>
          </c:extLst>
        </c:ser>
        <c:ser>
          <c:idx val="2"/>
          <c:order val="1"/>
          <c:tx>
            <c:strRef>
              <c:f>Tűz!$E$1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Tűz!$A$2:$A$6</c:f>
              <c:strCache>
                <c:ptCount val="5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Szándékosan megtévesztő jelzés</c:v>
                </c:pt>
                <c:pt idx="3">
                  <c:v>Téves jelzés</c:v>
                </c:pt>
                <c:pt idx="4">
                  <c:v>Utólagos jelzés</c:v>
                </c:pt>
              </c:strCache>
            </c:strRef>
          </c:cat>
          <c:val>
            <c:numRef>
              <c:f>Tűz!$E$2:$E$6</c:f>
              <c:numCache>
                <c:formatCode>General</c:formatCode>
                <c:ptCount val="5"/>
                <c:pt idx="0">
                  <c:v>340</c:v>
                </c:pt>
                <c:pt idx="1">
                  <c:v>119</c:v>
                </c:pt>
                <c:pt idx="2">
                  <c:v>5</c:v>
                </c:pt>
                <c:pt idx="3">
                  <c:v>371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E5-432A-ADF2-32074F68A5FE}"/>
            </c:ext>
          </c:extLst>
        </c:ser>
        <c:ser>
          <c:idx val="1"/>
          <c:order val="2"/>
          <c:tx>
            <c:strRef>
              <c:f>Tűz!$D$1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Tűz!$A$2:$A$6</c:f>
              <c:strCache>
                <c:ptCount val="5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Szándékosan megtévesztő jelzés</c:v>
                </c:pt>
                <c:pt idx="3">
                  <c:v>Téves jelzés</c:v>
                </c:pt>
                <c:pt idx="4">
                  <c:v>Utólagos jelzés</c:v>
                </c:pt>
              </c:strCache>
            </c:strRef>
          </c:cat>
          <c:val>
            <c:numRef>
              <c:f>Tűz!$D$2:$D$6</c:f>
              <c:numCache>
                <c:formatCode>General</c:formatCode>
                <c:ptCount val="5"/>
                <c:pt idx="0">
                  <c:v>333</c:v>
                </c:pt>
                <c:pt idx="1">
                  <c:v>106</c:v>
                </c:pt>
                <c:pt idx="3">
                  <c:v>423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E5-432A-ADF2-32074F68A5FE}"/>
            </c:ext>
          </c:extLst>
        </c:ser>
        <c:ser>
          <c:idx val="0"/>
          <c:order val="3"/>
          <c:tx>
            <c:strRef>
              <c:f>Tűz!$C$1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Tűz!$A$2:$A$6</c:f>
              <c:strCache>
                <c:ptCount val="5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Szándékosan megtévesztő jelzés</c:v>
                </c:pt>
                <c:pt idx="3">
                  <c:v>Téves jelzés</c:v>
                </c:pt>
                <c:pt idx="4">
                  <c:v>Utólagos jelzés</c:v>
                </c:pt>
              </c:strCache>
            </c:strRef>
          </c:cat>
          <c:val>
            <c:numRef>
              <c:f>Tűz!$C$2:$C$6</c:f>
              <c:numCache>
                <c:formatCode>General</c:formatCode>
                <c:ptCount val="5"/>
                <c:pt idx="0">
                  <c:v>372</c:v>
                </c:pt>
                <c:pt idx="1">
                  <c:v>112</c:v>
                </c:pt>
                <c:pt idx="2">
                  <c:v>4</c:v>
                </c:pt>
                <c:pt idx="3">
                  <c:v>396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E5-432A-ADF2-32074F68A5FE}"/>
            </c:ext>
          </c:extLst>
        </c:ser>
        <c:ser>
          <c:idx val="4"/>
          <c:order val="4"/>
          <c:tx>
            <c:strRef>
              <c:f>Tűz!$B$1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Tűz!$B$2:$B$6</c:f>
              <c:numCache>
                <c:formatCode>General</c:formatCode>
                <c:ptCount val="5"/>
                <c:pt idx="0">
                  <c:v>266</c:v>
                </c:pt>
                <c:pt idx="1">
                  <c:v>69</c:v>
                </c:pt>
                <c:pt idx="2">
                  <c:v>1</c:v>
                </c:pt>
                <c:pt idx="3">
                  <c:v>358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E5-432A-ADF2-32074F68A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85655744"/>
        <c:axId val="-1785652480"/>
        <c:axId val="0"/>
      </c:bar3DChart>
      <c:catAx>
        <c:axId val="-17856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2480"/>
        <c:crosses val="autoZero"/>
        <c:auto val="1"/>
        <c:lblAlgn val="ctr"/>
        <c:lblOffset val="100"/>
        <c:noMultiLvlLbl val="0"/>
      </c:catAx>
      <c:valAx>
        <c:axId val="-178565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5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Tűzesetek - beavatkozás helyszíne szerint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Tűz!$F$10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Tűz!$A$12:$A$27</c:f>
              <c:strCache>
                <c:ptCount val="16"/>
                <c:pt idx="0">
                  <c:v>Egyéb</c:v>
                </c:pt>
                <c:pt idx="1">
                  <c:v>Építkezési terület</c:v>
                </c:pt>
                <c:pt idx="3">
                  <c:v>Ipari, termelési létesítmény</c:v>
                </c:pt>
                <c:pt idx="4">
                  <c:v>Kereskedelmi, szolgáltató létesítmény</c:v>
                </c:pt>
                <c:pt idx="5">
                  <c:v>Közlekedési eszköz</c:v>
                </c:pt>
                <c:pt idx="7">
                  <c:v>Közút</c:v>
                </c:pt>
                <c:pt idx="8">
                  <c:v>Mezőgazdasági létesítmény</c:v>
                </c:pt>
                <c:pt idx="10">
                  <c:v>Otthon jellegű létesítmény</c:v>
                </c:pt>
                <c:pt idx="11">
                  <c:v>Sport létesítmény</c:v>
                </c:pt>
                <c:pt idx="12">
                  <c:v>Szabad terület</c:v>
                </c:pt>
                <c:pt idx="14">
                  <c:v>Tárolási létesítmény</c:v>
                </c:pt>
                <c:pt idx="15">
                  <c:v>Vendéglátó létesítmény</c:v>
                </c:pt>
              </c:strCache>
            </c:strRef>
          </c:cat>
          <c:val>
            <c:numRef>
              <c:f>Tűz!$F$12:$F$27</c:f>
              <c:numCache>
                <c:formatCode>General</c:formatCode>
                <c:ptCount val="16"/>
                <c:pt idx="0">
                  <c:v>31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19</c:v>
                </c:pt>
                <c:pt idx="6">
                  <c:v>5</c:v>
                </c:pt>
                <c:pt idx="7">
                  <c:v>27</c:v>
                </c:pt>
                <c:pt idx="8">
                  <c:v>2</c:v>
                </c:pt>
                <c:pt idx="9">
                  <c:v>2</c:v>
                </c:pt>
                <c:pt idx="10">
                  <c:v>77</c:v>
                </c:pt>
                <c:pt idx="12">
                  <c:v>113</c:v>
                </c:pt>
                <c:pt idx="1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0-45CE-8CF7-05C951CEEC87}"/>
            </c:ext>
          </c:extLst>
        </c:ser>
        <c:ser>
          <c:idx val="2"/>
          <c:order val="1"/>
          <c:tx>
            <c:strRef>
              <c:f>Tűz!$E$10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Tűz!$A$12:$A$27</c:f>
              <c:strCache>
                <c:ptCount val="16"/>
                <c:pt idx="0">
                  <c:v>Egyéb</c:v>
                </c:pt>
                <c:pt idx="1">
                  <c:v>Építkezési terület</c:v>
                </c:pt>
                <c:pt idx="3">
                  <c:v>Ipari, termelési létesítmény</c:v>
                </c:pt>
                <c:pt idx="4">
                  <c:v>Kereskedelmi, szolgáltató létesítmény</c:v>
                </c:pt>
                <c:pt idx="5">
                  <c:v>Közlekedési eszköz</c:v>
                </c:pt>
                <c:pt idx="7">
                  <c:v>Közút</c:v>
                </c:pt>
                <c:pt idx="8">
                  <c:v>Mezőgazdasági létesítmény</c:v>
                </c:pt>
                <c:pt idx="10">
                  <c:v>Otthon jellegű létesítmény</c:v>
                </c:pt>
                <c:pt idx="11">
                  <c:v>Sport létesítmény</c:v>
                </c:pt>
                <c:pt idx="12">
                  <c:v>Szabad terület</c:v>
                </c:pt>
                <c:pt idx="14">
                  <c:v>Tárolási létesítmény</c:v>
                </c:pt>
                <c:pt idx="15">
                  <c:v>Vendéglátó létesítmény</c:v>
                </c:pt>
              </c:strCache>
            </c:strRef>
          </c:cat>
          <c:val>
            <c:numRef>
              <c:f>Tűz!$E$12:$E$27</c:f>
              <c:numCache>
                <c:formatCode>General</c:formatCode>
                <c:ptCount val="16"/>
                <c:pt idx="1">
                  <c:v>9</c:v>
                </c:pt>
                <c:pt idx="3">
                  <c:v>3</c:v>
                </c:pt>
                <c:pt idx="4">
                  <c:v>6</c:v>
                </c:pt>
                <c:pt idx="5">
                  <c:v>11</c:v>
                </c:pt>
                <c:pt idx="6">
                  <c:v>1</c:v>
                </c:pt>
                <c:pt idx="7">
                  <c:v>17</c:v>
                </c:pt>
                <c:pt idx="8">
                  <c:v>2</c:v>
                </c:pt>
                <c:pt idx="10">
                  <c:v>101</c:v>
                </c:pt>
                <c:pt idx="12">
                  <c:v>140</c:v>
                </c:pt>
                <c:pt idx="13">
                  <c:v>1</c:v>
                </c:pt>
                <c:pt idx="1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20-45CE-8CF7-05C951CEEC87}"/>
            </c:ext>
          </c:extLst>
        </c:ser>
        <c:ser>
          <c:idx val="1"/>
          <c:order val="2"/>
          <c:tx>
            <c:strRef>
              <c:f>Tűz!$D$10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Tűz!$A$12:$A$27</c:f>
              <c:strCache>
                <c:ptCount val="16"/>
                <c:pt idx="0">
                  <c:v>Egyéb</c:v>
                </c:pt>
                <c:pt idx="1">
                  <c:v>Építkezési terület</c:v>
                </c:pt>
                <c:pt idx="3">
                  <c:v>Ipari, termelési létesítmény</c:v>
                </c:pt>
                <c:pt idx="4">
                  <c:v>Kereskedelmi, szolgáltató létesítmény</c:v>
                </c:pt>
                <c:pt idx="5">
                  <c:v>Közlekedési eszköz</c:v>
                </c:pt>
                <c:pt idx="7">
                  <c:v>Közút</c:v>
                </c:pt>
                <c:pt idx="8">
                  <c:v>Mezőgazdasági létesítmény</c:v>
                </c:pt>
                <c:pt idx="10">
                  <c:v>Otthon jellegű létesítmény</c:v>
                </c:pt>
                <c:pt idx="11">
                  <c:v>Sport létesítmény</c:v>
                </c:pt>
                <c:pt idx="12">
                  <c:v>Szabad terület</c:v>
                </c:pt>
                <c:pt idx="14">
                  <c:v>Tárolási létesítmény</c:v>
                </c:pt>
                <c:pt idx="15">
                  <c:v>Vendéglátó létesítmény</c:v>
                </c:pt>
              </c:strCache>
            </c:strRef>
          </c:cat>
          <c:val>
            <c:numRef>
              <c:f>Tűz!$D$12:$D$27</c:f>
              <c:numCache>
                <c:formatCode>General</c:formatCode>
                <c:ptCount val="16"/>
                <c:pt idx="0">
                  <c:v>21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26</c:v>
                </c:pt>
                <c:pt idx="6">
                  <c:v>2</c:v>
                </c:pt>
                <c:pt idx="7">
                  <c:v>34</c:v>
                </c:pt>
                <c:pt idx="8">
                  <c:v>4</c:v>
                </c:pt>
                <c:pt idx="9">
                  <c:v>1</c:v>
                </c:pt>
                <c:pt idx="10">
                  <c:v>62</c:v>
                </c:pt>
                <c:pt idx="12">
                  <c:v>167</c:v>
                </c:pt>
                <c:pt idx="1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20-45CE-8CF7-05C951CEEC87}"/>
            </c:ext>
          </c:extLst>
        </c:ser>
        <c:ser>
          <c:idx val="0"/>
          <c:order val="3"/>
          <c:tx>
            <c:strRef>
              <c:f>Tűz!$C$10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Tűz!$A$12:$A$27</c:f>
              <c:strCache>
                <c:ptCount val="16"/>
                <c:pt idx="0">
                  <c:v>Egyéb</c:v>
                </c:pt>
                <c:pt idx="1">
                  <c:v>Építkezési terület</c:v>
                </c:pt>
                <c:pt idx="3">
                  <c:v>Ipari, termelési létesítmény</c:v>
                </c:pt>
                <c:pt idx="4">
                  <c:v>Kereskedelmi, szolgáltató létesítmény</c:v>
                </c:pt>
                <c:pt idx="5">
                  <c:v>Közlekedési eszköz</c:v>
                </c:pt>
                <c:pt idx="7">
                  <c:v>Közút</c:v>
                </c:pt>
                <c:pt idx="8">
                  <c:v>Mezőgazdasági létesítmény</c:v>
                </c:pt>
                <c:pt idx="10">
                  <c:v>Otthon jellegű létesítmény</c:v>
                </c:pt>
                <c:pt idx="11">
                  <c:v>Sport létesítmény</c:v>
                </c:pt>
                <c:pt idx="12">
                  <c:v>Szabad terület</c:v>
                </c:pt>
                <c:pt idx="14">
                  <c:v>Tárolási létesítmény</c:v>
                </c:pt>
                <c:pt idx="15">
                  <c:v>Vendéglátó létesítmény</c:v>
                </c:pt>
              </c:strCache>
            </c:strRef>
          </c:cat>
          <c:val>
            <c:numRef>
              <c:f>Tűz!$C$12:$C$27</c:f>
              <c:numCache>
                <c:formatCode>General</c:formatCode>
                <c:ptCount val="16"/>
                <c:pt idx="0">
                  <c:v>31</c:v>
                </c:pt>
                <c:pt idx="1">
                  <c:v>5</c:v>
                </c:pt>
                <c:pt idx="3">
                  <c:v>7</c:v>
                </c:pt>
                <c:pt idx="4">
                  <c:v>6</c:v>
                </c:pt>
                <c:pt idx="5">
                  <c:v>17</c:v>
                </c:pt>
                <c:pt idx="7">
                  <c:v>16</c:v>
                </c:pt>
                <c:pt idx="8">
                  <c:v>2</c:v>
                </c:pt>
                <c:pt idx="10">
                  <c:v>71</c:v>
                </c:pt>
                <c:pt idx="11">
                  <c:v>1</c:v>
                </c:pt>
                <c:pt idx="12">
                  <c:v>209</c:v>
                </c:pt>
                <c:pt idx="14">
                  <c:v>6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20-45CE-8CF7-05C951CEEC87}"/>
            </c:ext>
          </c:extLst>
        </c:ser>
        <c:ser>
          <c:idx val="4"/>
          <c:order val="4"/>
          <c:tx>
            <c:strRef>
              <c:f>Tűz!$B$10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Tűz!$B$12:$B$27</c:f>
              <c:numCache>
                <c:formatCode>General</c:formatCode>
                <c:ptCount val="16"/>
                <c:pt idx="0">
                  <c:v>16</c:v>
                </c:pt>
                <c:pt idx="1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21</c:v>
                </c:pt>
                <c:pt idx="7">
                  <c:v>28</c:v>
                </c:pt>
                <c:pt idx="8">
                  <c:v>1</c:v>
                </c:pt>
                <c:pt idx="10">
                  <c:v>57</c:v>
                </c:pt>
                <c:pt idx="12">
                  <c:v>119</c:v>
                </c:pt>
                <c:pt idx="1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20-45CE-8CF7-05C951CEE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85650848"/>
        <c:axId val="-1785670432"/>
      </c:barChart>
      <c:catAx>
        <c:axId val="-178565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70432"/>
        <c:crosses val="autoZero"/>
        <c:auto val="1"/>
        <c:lblAlgn val="ctr"/>
        <c:lblOffset val="100"/>
        <c:noMultiLvlLbl val="0"/>
      </c:catAx>
      <c:valAx>
        <c:axId val="-178567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08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Műszaki mentés</a:t>
            </a:r>
            <a:r>
              <a:rPr lang="hu-HU" baseline="0"/>
              <a:t> - beavatkozás igénye szerint</a:t>
            </a:r>
            <a:endParaRPr lang="hu-H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465810194778272E-2"/>
          <c:y val="0.12523437500000001"/>
          <c:w val="0.90753418980522171"/>
          <c:h val="0.51034366797900266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'MM. '!$F$1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'MM. '!$A$2:$A$5</c:f>
              <c:strCache>
                <c:ptCount val="4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Téves jelzés</c:v>
                </c:pt>
                <c:pt idx="3">
                  <c:v>Utólagos jelzés</c:v>
                </c:pt>
              </c:strCache>
            </c:strRef>
          </c:cat>
          <c:val>
            <c:numRef>
              <c:f>'MM. '!$F$2:$F$5</c:f>
              <c:numCache>
                <c:formatCode>General</c:formatCode>
                <c:ptCount val="4"/>
                <c:pt idx="0">
                  <c:v>425</c:v>
                </c:pt>
                <c:pt idx="1">
                  <c:v>35</c:v>
                </c:pt>
                <c:pt idx="2">
                  <c:v>1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C5-4919-9F2E-4EBF118DF1D1}"/>
            </c:ext>
          </c:extLst>
        </c:ser>
        <c:ser>
          <c:idx val="2"/>
          <c:order val="1"/>
          <c:tx>
            <c:strRef>
              <c:f>'MM. '!$E$1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'MM. '!$A$2:$A$5</c:f>
              <c:strCache>
                <c:ptCount val="4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Téves jelzés</c:v>
                </c:pt>
                <c:pt idx="3">
                  <c:v>Utólagos jelzés</c:v>
                </c:pt>
              </c:strCache>
            </c:strRef>
          </c:cat>
          <c:val>
            <c:numRef>
              <c:f>'MM. '!$E$2:$E$5</c:f>
              <c:numCache>
                <c:formatCode>General</c:formatCode>
                <c:ptCount val="4"/>
                <c:pt idx="0">
                  <c:v>514</c:v>
                </c:pt>
                <c:pt idx="1">
                  <c:v>59</c:v>
                </c:pt>
                <c:pt idx="2">
                  <c:v>3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C5-4919-9F2E-4EBF118DF1D1}"/>
            </c:ext>
          </c:extLst>
        </c:ser>
        <c:ser>
          <c:idx val="1"/>
          <c:order val="2"/>
          <c:tx>
            <c:strRef>
              <c:f>'MM. '!$D$1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'MM. '!$A$2:$A$5</c:f>
              <c:strCache>
                <c:ptCount val="4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Téves jelzés</c:v>
                </c:pt>
                <c:pt idx="3">
                  <c:v>Utólagos jelzés</c:v>
                </c:pt>
              </c:strCache>
            </c:strRef>
          </c:cat>
          <c:val>
            <c:numRef>
              <c:f>'MM. '!$D$2:$D$5</c:f>
              <c:numCache>
                <c:formatCode>General</c:formatCode>
                <c:ptCount val="4"/>
                <c:pt idx="0">
                  <c:v>517</c:v>
                </c:pt>
                <c:pt idx="1">
                  <c:v>61</c:v>
                </c:pt>
                <c:pt idx="2">
                  <c:v>2</c:v>
                </c:pt>
                <c:pt idx="3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C5-4919-9F2E-4EBF118DF1D1}"/>
            </c:ext>
          </c:extLst>
        </c:ser>
        <c:ser>
          <c:idx val="0"/>
          <c:order val="3"/>
          <c:tx>
            <c:strRef>
              <c:f>'MM. '!$C$1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'MM. '!$A$2:$A$5</c:f>
              <c:strCache>
                <c:ptCount val="4"/>
                <c:pt idx="0">
                  <c:v>Beavatkozást igénylő esemény</c:v>
                </c:pt>
                <c:pt idx="1">
                  <c:v>Kiérkezés előtt felszámolt</c:v>
                </c:pt>
                <c:pt idx="2">
                  <c:v>Téves jelzés</c:v>
                </c:pt>
                <c:pt idx="3">
                  <c:v>Utólagos jelzés</c:v>
                </c:pt>
              </c:strCache>
            </c:strRef>
          </c:cat>
          <c:val>
            <c:numRef>
              <c:f>'MM. '!$C$2:$C$5</c:f>
              <c:numCache>
                <c:formatCode>General</c:formatCode>
                <c:ptCount val="4"/>
                <c:pt idx="0">
                  <c:v>582</c:v>
                </c:pt>
                <c:pt idx="1">
                  <c:v>55</c:v>
                </c:pt>
                <c:pt idx="2">
                  <c:v>84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C5-4919-9F2E-4EBF118DF1D1}"/>
            </c:ext>
          </c:extLst>
        </c:ser>
        <c:ser>
          <c:idx val="4"/>
          <c:order val="4"/>
          <c:tx>
            <c:strRef>
              <c:f>'MM. '!$B$1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'MM. '!$B$2:$B$5</c:f>
              <c:numCache>
                <c:formatCode>General</c:formatCode>
                <c:ptCount val="4"/>
                <c:pt idx="0">
                  <c:v>631</c:v>
                </c:pt>
                <c:pt idx="1">
                  <c:v>65</c:v>
                </c:pt>
                <c:pt idx="2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C5-4919-9F2E-4EBF118DF1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785657920"/>
        <c:axId val="-1785675872"/>
        <c:axId val="0"/>
      </c:bar3DChart>
      <c:catAx>
        <c:axId val="-17856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75872"/>
        <c:crosses val="autoZero"/>
        <c:auto val="1"/>
        <c:lblAlgn val="ctr"/>
        <c:lblOffset val="100"/>
        <c:noMultiLvlLbl val="0"/>
      </c:catAx>
      <c:valAx>
        <c:axId val="-17856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7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Műszaki</a:t>
            </a:r>
            <a:r>
              <a:rPr lang="hu-HU" baseline="0"/>
              <a:t> mentés - beavatkozás heyszíne szerint</a:t>
            </a:r>
            <a:endParaRPr lang="hu-H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'MM. '!$F$41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'MM. '!$A$42:$A$58</c:f>
              <c:strCache>
                <c:ptCount val="12"/>
                <c:pt idx="0">
                  <c:v>Egészségügyi, szociális létesítmény</c:v>
                </c:pt>
                <c:pt idx="1">
                  <c:v>Építkezési terület</c:v>
                </c:pt>
                <c:pt idx="2">
                  <c:v>Ipari, termelési létesítmény</c:v>
                </c:pt>
                <c:pt idx="3">
                  <c:v>Kereskedelmi, szolgáltató létesítmény</c:v>
                </c:pt>
                <c:pt idx="4">
                  <c:v>Közlekedési eszköz</c:v>
                </c:pt>
                <c:pt idx="5">
                  <c:v>Közút</c:v>
                </c:pt>
                <c:pt idx="6">
                  <c:v>Nevelési-, oktatási létesítmény</c:v>
                </c:pt>
                <c:pt idx="7">
                  <c:v>Otthon jellegű létesítmény</c:v>
                </c:pt>
                <c:pt idx="8">
                  <c:v>Szabad terület</c:v>
                </c:pt>
                <c:pt idx="9">
                  <c:v>Szálloda jellegű létesítmény</c:v>
                </c:pt>
                <c:pt idx="10">
                  <c:v>Tárolási létesítmény</c:v>
                </c:pt>
                <c:pt idx="11">
                  <c:v>Vendéglátó létesítmény</c:v>
                </c:pt>
              </c:strCache>
              <c:extLst xmlns:c16r2="http://schemas.microsoft.com/office/drawing/2015/06/chart"/>
            </c:strRef>
          </c:cat>
          <c:val>
            <c:numRef>
              <c:f>'MM. '!$F$42:$F$58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3">
                  <c:v>7</c:v>
                </c:pt>
                <c:pt idx="4">
                  <c:v>44</c:v>
                </c:pt>
                <c:pt idx="5">
                  <c:v>171</c:v>
                </c:pt>
                <c:pt idx="6">
                  <c:v>3</c:v>
                </c:pt>
                <c:pt idx="7">
                  <c:v>123</c:v>
                </c:pt>
                <c:pt idx="8">
                  <c:v>14</c:v>
                </c:pt>
                <c:pt idx="10">
                  <c:v>3</c:v>
                </c:pt>
                <c:pt idx="11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C-46DD-96A0-3E0CFF0C0842}"/>
            </c:ext>
          </c:extLst>
        </c:ser>
        <c:ser>
          <c:idx val="2"/>
          <c:order val="1"/>
          <c:tx>
            <c:strRef>
              <c:f>'MM. '!$E$41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'MM. '!$A$42:$A$58</c:f>
              <c:strCache>
                <c:ptCount val="12"/>
                <c:pt idx="0">
                  <c:v>Egészségügyi, szociális létesítmény</c:v>
                </c:pt>
                <c:pt idx="1">
                  <c:v>Építkezési terület</c:v>
                </c:pt>
                <c:pt idx="2">
                  <c:v>Ipari, termelési létesítmény</c:v>
                </c:pt>
                <c:pt idx="3">
                  <c:v>Kereskedelmi, szolgáltató létesítmény</c:v>
                </c:pt>
                <c:pt idx="4">
                  <c:v>Közlekedési eszköz</c:v>
                </c:pt>
                <c:pt idx="5">
                  <c:v>Közút</c:v>
                </c:pt>
                <c:pt idx="6">
                  <c:v>Nevelési-, oktatási létesítmény</c:v>
                </c:pt>
                <c:pt idx="7">
                  <c:v>Otthon jellegű létesítmény</c:v>
                </c:pt>
                <c:pt idx="8">
                  <c:v>Szabad terület</c:v>
                </c:pt>
                <c:pt idx="9">
                  <c:v>Szálloda jellegű létesítmény</c:v>
                </c:pt>
                <c:pt idx="10">
                  <c:v>Tárolási létesítmény</c:v>
                </c:pt>
                <c:pt idx="11">
                  <c:v>Vendéglátó létesítmény</c:v>
                </c:pt>
              </c:strCache>
              <c:extLst xmlns:c16r2="http://schemas.microsoft.com/office/drawing/2015/06/chart"/>
            </c:strRef>
          </c:cat>
          <c:val>
            <c:numRef>
              <c:f>'MM. '!$E$42:$E$58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  <c:pt idx="4">
                  <c:v>35</c:v>
                </c:pt>
                <c:pt idx="5">
                  <c:v>207</c:v>
                </c:pt>
                <c:pt idx="6">
                  <c:v>2</c:v>
                </c:pt>
                <c:pt idx="7">
                  <c:v>144</c:v>
                </c:pt>
                <c:pt idx="8">
                  <c:v>51</c:v>
                </c:pt>
                <c:pt idx="10">
                  <c:v>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EC-46DD-96A0-3E0CFF0C0842}"/>
            </c:ext>
          </c:extLst>
        </c:ser>
        <c:ser>
          <c:idx val="1"/>
          <c:order val="2"/>
          <c:tx>
            <c:strRef>
              <c:f>'MM. '!$D$41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'MM. '!$A$42:$A$58</c:f>
              <c:strCache>
                <c:ptCount val="12"/>
                <c:pt idx="0">
                  <c:v>Egészségügyi, szociális létesítmény</c:v>
                </c:pt>
                <c:pt idx="1">
                  <c:v>Építkezési terület</c:v>
                </c:pt>
                <c:pt idx="2">
                  <c:v>Ipari, termelési létesítmény</c:v>
                </c:pt>
                <c:pt idx="3">
                  <c:v>Kereskedelmi, szolgáltató létesítmény</c:v>
                </c:pt>
                <c:pt idx="4">
                  <c:v>Közlekedési eszköz</c:v>
                </c:pt>
                <c:pt idx="5">
                  <c:v>Közút</c:v>
                </c:pt>
                <c:pt idx="6">
                  <c:v>Nevelési-, oktatási létesítmény</c:v>
                </c:pt>
                <c:pt idx="7">
                  <c:v>Otthon jellegű létesítmény</c:v>
                </c:pt>
                <c:pt idx="8">
                  <c:v>Szabad terület</c:v>
                </c:pt>
                <c:pt idx="9">
                  <c:v>Szálloda jellegű létesítmény</c:v>
                </c:pt>
                <c:pt idx="10">
                  <c:v>Tárolási létesítmény</c:v>
                </c:pt>
                <c:pt idx="11">
                  <c:v>Vendéglátó létesítmény</c:v>
                </c:pt>
              </c:strCache>
              <c:extLst xmlns:c16r2="http://schemas.microsoft.com/office/drawing/2015/06/chart"/>
            </c:strRef>
          </c:cat>
          <c:val>
            <c:numRef>
              <c:f>'MM. '!$D$42:$D$58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3">
                  <c:v>4</c:v>
                </c:pt>
                <c:pt idx="4">
                  <c:v>55</c:v>
                </c:pt>
                <c:pt idx="5">
                  <c:v>205</c:v>
                </c:pt>
                <c:pt idx="6">
                  <c:v>3</c:v>
                </c:pt>
                <c:pt idx="7">
                  <c:v>165</c:v>
                </c:pt>
                <c:pt idx="8">
                  <c:v>35</c:v>
                </c:pt>
                <c:pt idx="10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EC-46DD-96A0-3E0CFF0C0842}"/>
            </c:ext>
          </c:extLst>
        </c:ser>
        <c:ser>
          <c:idx val="0"/>
          <c:order val="3"/>
          <c:tx>
            <c:strRef>
              <c:f>'MM. '!$C$41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'MM. '!$A$42:$A$58</c:f>
              <c:strCache>
                <c:ptCount val="12"/>
                <c:pt idx="0">
                  <c:v>Egészségügyi, szociális létesítmény</c:v>
                </c:pt>
                <c:pt idx="1">
                  <c:v>Építkezési terület</c:v>
                </c:pt>
                <c:pt idx="2">
                  <c:v>Ipari, termelési létesítmény</c:v>
                </c:pt>
                <c:pt idx="3">
                  <c:v>Kereskedelmi, szolgáltató létesítmény</c:v>
                </c:pt>
                <c:pt idx="4">
                  <c:v>Közlekedési eszköz</c:v>
                </c:pt>
                <c:pt idx="5">
                  <c:v>Közút</c:v>
                </c:pt>
                <c:pt idx="6">
                  <c:v>Nevelési-, oktatási létesítmény</c:v>
                </c:pt>
                <c:pt idx="7">
                  <c:v>Otthon jellegű létesítmény</c:v>
                </c:pt>
                <c:pt idx="8">
                  <c:v>Szabad terület</c:v>
                </c:pt>
                <c:pt idx="9">
                  <c:v>Szálloda jellegű létesítmény</c:v>
                </c:pt>
                <c:pt idx="10">
                  <c:v>Tárolási létesítmény</c:v>
                </c:pt>
                <c:pt idx="11">
                  <c:v>Vendéglátó létesítmény</c:v>
                </c:pt>
              </c:strCache>
              <c:extLst xmlns:c16r2="http://schemas.microsoft.com/office/drawing/2015/06/chart"/>
            </c:strRef>
          </c:cat>
          <c:val>
            <c:numRef>
              <c:f>'MM. '!$C$42:$C$58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3">
                  <c:v>3</c:v>
                </c:pt>
                <c:pt idx="4">
                  <c:v>72</c:v>
                </c:pt>
                <c:pt idx="5">
                  <c:v>239</c:v>
                </c:pt>
                <c:pt idx="6">
                  <c:v>5</c:v>
                </c:pt>
                <c:pt idx="7">
                  <c:v>154</c:v>
                </c:pt>
                <c:pt idx="8">
                  <c:v>71</c:v>
                </c:pt>
                <c:pt idx="9">
                  <c:v>1</c:v>
                </c:pt>
                <c:pt idx="11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EC-46DD-96A0-3E0CFF0C0842}"/>
            </c:ext>
          </c:extLst>
        </c:ser>
        <c:ser>
          <c:idx val="4"/>
          <c:order val="4"/>
          <c:tx>
            <c:strRef>
              <c:f>'MM. '!$B$41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12"/>
              <c:pt idx="0">
                <c:v>Egészségügyi, szociális létesítmény</c:v>
              </c:pt>
              <c:pt idx="1">
                <c:v>Építkezési terület</c:v>
              </c:pt>
              <c:pt idx="2">
                <c:v>Ipari, termelési létesítmény</c:v>
              </c:pt>
              <c:pt idx="3">
                <c:v>Kereskedelmi, szolgáltató létesítmény</c:v>
              </c:pt>
              <c:pt idx="4">
                <c:v>Közlekedési eszköz</c:v>
              </c:pt>
              <c:pt idx="5">
                <c:v>Közút</c:v>
              </c:pt>
              <c:pt idx="6">
                <c:v>Nevelési-, oktatási létesítmény</c:v>
              </c:pt>
              <c:pt idx="7">
                <c:v>Otthon jellegű létesítmény</c:v>
              </c:pt>
              <c:pt idx="8">
                <c:v>Szabad terület</c:v>
              </c:pt>
              <c:pt idx="9">
                <c:v>Szálloda jellegű létesítmény</c:v>
              </c:pt>
              <c:pt idx="10">
                <c:v>Tárolási létesítmény</c:v>
              </c:pt>
              <c:pt idx="11">
                <c:v>Vendéglátó létesítmény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'MM. '!$B$42:$B$58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38</c:v>
                </c:pt>
                <c:pt idx="5">
                  <c:v>268</c:v>
                </c:pt>
                <c:pt idx="6">
                  <c:v>2</c:v>
                </c:pt>
                <c:pt idx="7">
                  <c:v>168</c:v>
                </c:pt>
                <c:pt idx="8">
                  <c:v>96</c:v>
                </c:pt>
                <c:pt idx="10">
                  <c:v>2</c:v>
                </c:pt>
                <c:pt idx="11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EC-46DD-96A0-3E0CFF0C0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85657376"/>
        <c:axId val="-1785656832"/>
      </c:barChart>
      <c:catAx>
        <c:axId val="-17856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6832"/>
        <c:crosses val="autoZero"/>
        <c:auto val="1"/>
        <c:lblAlgn val="ctr"/>
        <c:lblOffset val="100"/>
        <c:noMultiLvlLbl val="0"/>
      </c:catAx>
      <c:valAx>
        <c:axId val="-1785656832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785657376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Önkétes</a:t>
            </a:r>
            <a:r>
              <a:rPr lang="hu-HU" baseline="0"/>
              <a:t> Tűzoltó Egyesületek Beavatkozás 2023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Munka1!$A$5:$A$13</c:f>
              <c:strCache>
                <c:ptCount val="9"/>
                <c:pt idx="0">
                  <c:v>Budaőrs ÖTE</c:v>
                </c:pt>
                <c:pt idx="1">
                  <c:v>Martonvásár ÖTE</c:v>
                </c:pt>
                <c:pt idx="2">
                  <c:v>Biatorbány ÖTE</c:v>
                </c:pt>
                <c:pt idx="3">
                  <c:v>Páty ÖTE</c:v>
                </c:pt>
                <c:pt idx="4">
                  <c:v>PMSM</c:v>
                </c:pt>
                <c:pt idx="5">
                  <c:v>Tárnok ÖTE</c:v>
                </c:pt>
                <c:pt idx="6">
                  <c:v>Vál ÖTE</c:v>
                </c:pt>
                <c:pt idx="7">
                  <c:v>Sóskút ÖTE</c:v>
                </c:pt>
                <c:pt idx="8">
                  <c:v>TSMP</c:v>
                </c:pt>
              </c:strCache>
            </c:strRef>
          </c:cat>
          <c:val>
            <c:numRef>
              <c:f>Munka1!$B$5:$B$13</c:f>
              <c:numCache>
                <c:formatCode>General</c:formatCode>
                <c:ptCount val="9"/>
                <c:pt idx="0">
                  <c:v>153</c:v>
                </c:pt>
                <c:pt idx="1">
                  <c:v>111</c:v>
                </c:pt>
                <c:pt idx="2">
                  <c:v>64</c:v>
                </c:pt>
                <c:pt idx="3">
                  <c:v>46</c:v>
                </c:pt>
                <c:pt idx="4">
                  <c:v>8</c:v>
                </c:pt>
                <c:pt idx="5">
                  <c:v>14</c:v>
                </c:pt>
                <c:pt idx="6">
                  <c:v>2</c:v>
                </c:pt>
                <c:pt idx="7">
                  <c:v>11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3A-420C-94AB-641BA0721E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142061568"/>
        <c:axId val="-2142061024"/>
      </c:barChart>
      <c:catAx>
        <c:axId val="-21420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2142061024"/>
        <c:crosses val="autoZero"/>
        <c:auto val="1"/>
        <c:lblAlgn val="ctr"/>
        <c:lblOffset val="100"/>
        <c:noMultiLvlLbl val="0"/>
      </c:catAx>
      <c:valAx>
        <c:axId val="-214206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214206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13CA-793A-4472-A185-B78FCD7E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2799</Words>
  <Characters>19646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Katasztrófavédelmi Igazgatóság</vt:lpstr>
    </vt:vector>
  </TitlesOfParts>
  <Company>Érd Város Hivatásos Tűzoltósága</Company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Katasztrófavédelmi Igazgatóság</dc:title>
  <dc:creator>Fodor Attila</dc:creator>
  <cp:lastModifiedBy>Dr. Halasi Andrea</cp:lastModifiedBy>
  <cp:revision>4</cp:revision>
  <cp:lastPrinted>2022-01-04T11:28:00Z</cp:lastPrinted>
  <dcterms:created xsi:type="dcterms:W3CDTF">2024-04-22T09:55:00Z</dcterms:created>
  <dcterms:modified xsi:type="dcterms:W3CDTF">2024-04-22T11:15:00Z</dcterms:modified>
</cp:coreProperties>
</file>