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83" w:rsidRDefault="00351AA9" w:rsidP="00001B83">
      <w:pPr>
        <w:jc w:val="center"/>
        <w:rPr>
          <w:b/>
          <w:sz w:val="26"/>
          <w:szCs w:val="26"/>
        </w:rPr>
      </w:pPr>
      <w:bookmarkStart w:id="0" w:name="_GoBack"/>
      <w:bookmarkEnd w:id="0"/>
      <w:r>
        <w:rPr>
          <w:b/>
          <w:sz w:val="26"/>
          <w:szCs w:val="26"/>
        </w:rPr>
        <w:t xml:space="preserve">   </w:t>
      </w:r>
      <w:r w:rsidR="00001B83">
        <w:rPr>
          <w:b/>
          <w:sz w:val="26"/>
          <w:szCs w:val="26"/>
        </w:rPr>
        <w:t>Beszámoló a Martonvásári Óvodatörténeti Gyűjtemény (Óvodamúzeum)</w:t>
      </w:r>
    </w:p>
    <w:p w:rsidR="00001B83" w:rsidRDefault="008A24A5" w:rsidP="00001B83">
      <w:pPr>
        <w:jc w:val="center"/>
        <w:rPr>
          <w:b/>
          <w:sz w:val="26"/>
          <w:szCs w:val="26"/>
        </w:rPr>
      </w:pPr>
      <w:r>
        <w:rPr>
          <w:b/>
          <w:sz w:val="26"/>
          <w:szCs w:val="26"/>
        </w:rPr>
        <w:t xml:space="preserve"> 2025</w:t>
      </w:r>
      <w:r w:rsidR="00001B83">
        <w:rPr>
          <w:b/>
          <w:sz w:val="26"/>
          <w:szCs w:val="26"/>
        </w:rPr>
        <w:t>. évi tevékenységéről</w:t>
      </w:r>
    </w:p>
    <w:p w:rsidR="00001B83" w:rsidRDefault="00001B83" w:rsidP="00001B83">
      <w:pPr>
        <w:ind w:firstLine="540"/>
        <w:jc w:val="both"/>
      </w:pPr>
    </w:p>
    <w:p w:rsidR="00001B83" w:rsidRDefault="00001B83" w:rsidP="00001B83">
      <w:pPr>
        <w:ind w:firstLine="540"/>
        <w:jc w:val="both"/>
      </w:pPr>
    </w:p>
    <w:p w:rsidR="00001B83" w:rsidRDefault="00001B83" w:rsidP="00001B83">
      <w:pPr>
        <w:jc w:val="both"/>
      </w:pPr>
      <w:r>
        <w:t xml:space="preserve">Az Óvodamúzeumot a tárgyévben közszolgáltatási feladat ellátási szerződés keretében a 100%-os önkormányzati tulajdonú Martonvásár Városi Közszolgáltató Nonprofit Kft. működtette a Brunszvik-Beethoven Közösségi Ház és Könyvtár integrált kulturális intézmény részeként, elkülönített költségvetésű szervezeti egységként. Az Óvodamúzeum a gazdasági társaság szervezeti felépítésében a </w:t>
      </w:r>
      <w:r w:rsidR="00046A15">
        <w:t>MartonKult</w:t>
      </w:r>
      <w:r>
        <w:t xml:space="preserve"> Iroda, azon belül a Közgyűjteményi Csoport keretében végzi tevékenységét. Hivatalos elnevezése jelenleg Martonvásári Óvodatörténeti Gyűjtemény, szakmai besorolása országos gyűjtőkörű közérdekű muzeális gyűjtemény.</w:t>
      </w:r>
    </w:p>
    <w:p w:rsidR="00001B83" w:rsidRDefault="00B525AE" w:rsidP="00001B83">
      <w:pPr>
        <w:ind w:firstLine="540"/>
        <w:jc w:val="both"/>
      </w:pPr>
      <w:r>
        <w:t>2025</w:t>
      </w:r>
      <w:r w:rsidR="00001B83">
        <w:t xml:space="preserve">. évi tevékenység főbb irányai az alábbiak voltak: a látogatók színvonalas kiszolgálása; a jogszabályoknak megfelelő hatékony muzeológiai-szakmai munka; múzeumpedagógiai oktatóterem működtetése, továbbá az Információs Pont szolgáltatásainak biztosítása, a Martonvásárra irányuló turizmus koordinálása, valamint önkormányzati pályázatok megvalósításában való közreműködés.  </w:t>
      </w:r>
    </w:p>
    <w:p w:rsidR="00001B83" w:rsidRDefault="00001B83" w:rsidP="00001B83">
      <w:pPr>
        <w:ind w:firstLine="540"/>
        <w:jc w:val="both"/>
      </w:pPr>
    </w:p>
    <w:p w:rsidR="00001B83" w:rsidRDefault="00001B83" w:rsidP="00001B83">
      <w:pPr>
        <w:jc w:val="both"/>
        <w:rPr>
          <w:b/>
        </w:rPr>
      </w:pPr>
      <w:r>
        <w:rPr>
          <w:b/>
        </w:rPr>
        <w:t>A működéssel összefü</w:t>
      </w:r>
      <w:r w:rsidR="002067E4">
        <w:rPr>
          <w:b/>
        </w:rPr>
        <w:t>ggő gazdálkodás főbb adatai 2025</w:t>
      </w:r>
      <w:r>
        <w:rPr>
          <w:b/>
        </w:rPr>
        <w:t>. évben</w:t>
      </w:r>
    </w:p>
    <w:p w:rsidR="00001B83" w:rsidRDefault="00001B83" w:rsidP="00001B83">
      <w:pPr>
        <w:jc w:val="center"/>
      </w:pPr>
    </w:p>
    <w:tbl>
      <w:tblPr>
        <w:tblW w:w="8640" w:type="dxa"/>
        <w:tblInd w:w="108" w:type="dxa"/>
        <w:tblLook w:val="01E0" w:firstRow="1" w:lastRow="1" w:firstColumn="1" w:lastColumn="1" w:noHBand="0" w:noVBand="0"/>
      </w:tblPr>
      <w:tblGrid>
        <w:gridCol w:w="1620"/>
        <w:gridCol w:w="4500"/>
        <w:gridCol w:w="2520"/>
      </w:tblGrid>
      <w:tr w:rsidR="00001B83" w:rsidTr="00001B83">
        <w:tc>
          <w:tcPr>
            <w:tcW w:w="6120" w:type="dxa"/>
            <w:gridSpan w:val="2"/>
            <w:hideMark/>
          </w:tcPr>
          <w:p w:rsidR="00001B83" w:rsidRDefault="00001B83">
            <w:pPr>
              <w:spacing w:line="276" w:lineRule="auto"/>
              <w:rPr>
                <w:b/>
                <w:lang w:eastAsia="en-US"/>
              </w:rPr>
            </w:pPr>
            <w:r>
              <w:rPr>
                <w:b/>
                <w:lang w:eastAsia="en-US"/>
              </w:rPr>
              <w:t>Bevételek:</w:t>
            </w:r>
          </w:p>
        </w:tc>
        <w:tc>
          <w:tcPr>
            <w:tcW w:w="2520" w:type="dxa"/>
          </w:tcPr>
          <w:p w:rsidR="00001B83" w:rsidRDefault="00001B83">
            <w:pPr>
              <w:spacing w:line="276" w:lineRule="auto"/>
              <w:jc w:val="right"/>
              <w:rPr>
                <w:lang w:eastAsia="en-US"/>
              </w:rPr>
            </w:pPr>
          </w:p>
        </w:tc>
      </w:tr>
      <w:tr w:rsidR="00001B83" w:rsidTr="00001B83">
        <w:tc>
          <w:tcPr>
            <w:tcW w:w="6120" w:type="dxa"/>
            <w:gridSpan w:val="2"/>
            <w:hideMark/>
          </w:tcPr>
          <w:p w:rsidR="00001B83" w:rsidRDefault="00001B83">
            <w:pPr>
              <w:spacing w:line="276" w:lineRule="auto"/>
              <w:rPr>
                <w:lang w:eastAsia="en-US"/>
              </w:rPr>
            </w:pPr>
            <w:r>
              <w:rPr>
                <w:lang w:eastAsia="en-US"/>
              </w:rPr>
              <w:t xml:space="preserve">                           </w:t>
            </w:r>
          </w:p>
        </w:tc>
        <w:tc>
          <w:tcPr>
            <w:tcW w:w="2520" w:type="dxa"/>
            <w:hideMark/>
          </w:tcPr>
          <w:p w:rsidR="00001B83" w:rsidRDefault="00001B83">
            <w:pPr>
              <w:rPr>
                <w:rFonts w:asciiTheme="minorHAnsi" w:eastAsia="Calibri" w:hAnsiTheme="minorHAnsi"/>
                <w:sz w:val="22"/>
                <w:szCs w:val="22"/>
                <w:lang w:eastAsia="en-US"/>
              </w:rPr>
            </w:pPr>
          </w:p>
        </w:tc>
      </w:tr>
      <w:tr w:rsidR="00001B83" w:rsidTr="00001B83">
        <w:tc>
          <w:tcPr>
            <w:tcW w:w="6120" w:type="dxa"/>
            <w:gridSpan w:val="2"/>
            <w:hideMark/>
          </w:tcPr>
          <w:p w:rsidR="00001B83" w:rsidRDefault="00001B83">
            <w:pPr>
              <w:spacing w:line="276" w:lineRule="auto"/>
              <w:rPr>
                <w:lang w:eastAsia="en-US"/>
              </w:rPr>
            </w:pPr>
            <w:r>
              <w:rPr>
                <w:lang w:eastAsia="en-US"/>
              </w:rPr>
              <w:t xml:space="preserve">                           -</w:t>
            </w:r>
            <w:r w:rsidR="00046A15">
              <w:rPr>
                <w:lang w:eastAsia="en-US"/>
              </w:rPr>
              <w:t xml:space="preserve"> </w:t>
            </w:r>
            <w:r>
              <w:rPr>
                <w:lang w:eastAsia="en-US"/>
              </w:rPr>
              <w:t>Működési bevétel:</w:t>
            </w:r>
          </w:p>
        </w:tc>
        <w:tc>
          <w:tcPr>
            <w:tcW w:w="2520" w:type="dxa"/>
            <w:hideMark/>
          </w:tcPr>
          <w:p w:rsidR="00001B83" w:rsidRDefault="004E35D1">
            <w:pPr>
              <w:spacing w:line="276" w:lineRule="auto"/>
              <w:jc w:val="right"/>
              <w:rPr>
                <w:lang w:eastAsia="en-US"/>
              </w:rPr>
            </w:pPr>
            <w:r>
              <w:rPr>
                <w:lang w:eastAsia="en-US"/>
              </w:rPr>
              <w:t>3. 700</w:t>
            </w:r>
            <w:r w:rsidR="00001B83">
              <w:rPr>
                <w:lang w:eastAsia="en-US"/>
              </w:rPr>
              <w:t xml:space="preserve"> e Ft</w:t>
            </w:r>
          </w:p>
        </w:tc>
      </w:tr>
      <w:tr w:rsidR="00001B83" w:rsidTr="00001B83">
        <w:tc>
          <w:tcPr>
            <w:tcW w:w="6120" w:type="dxa"/>
            <w:gridSpan w:val="2"/>
            <w:hideMark/>
          </w:tcPr>
          <w:p w:rsidR="00001B83" w:rsidRDefault="00001B83">
            <w:pPr>
              <w:spacing w:line="276" w:lineRule="auto"/>
              <w:rPr>
                <w:lang w:eastAsia="en-US"/>
              </w:rPr>
            </w:pPr>
            <w:r>
              <w:rPr>
                <w:lang w:eastAsia="en-US"/>
              </w:rPr>
              <w:t xml:space="preserve">                           -</w:t>
            </w:r>
            <w:r w:rsidR="00046A15">
              <w:rPr>
                <w:lang w:eastAsia="en-US"/>
              </w:rPr>
              <w:t xml:space="preserve"> </w:t>
            </w:r>
            <w:r>
              <w:rPr>
                <w:lang w:eastAsia="en-US"/>
              </w:rPr>
              <w:t>Fenntartói finanszírozás:</w:t>
            </w:r>
          </w:p>
        </w:tc>
        <w:tc>
          <w:tcPr>
            <w:tcW w:w="2520" w:type="dxa"/>
            <w:hideMark/>
          </w:tcPr>
          <w:p w:rsidR="00001B83" w:rsidRDefault="00C574E1">
            <w:pPr>
              <w:spacing w:line="276" w:lineRule="auto"/>
              <w:jc w:val="right"/>
              <w:rPr>
                <w:lang w:eastAsia="en-US"/>
              </w:rPr>
            </w:pPr>
            <w:r>
              <w:rPr>
                <w:lang w:eastAsia="en-US"/>
              </w:rPr>
              <w:t xml:space="preserve">    21. 955</w:t>
            </w:r>
            <w:r w:rsidR="00001B83">
              <w:rPr>
                <w:lang w:eastAsia="en-US"/>
              </w:rPr>
              <w:t xml:space="preserve"> e Ft</w:t>
            </w:r>
          </w:p>
        </w:tc>
      </w:tr>
      <w:tr w:rsidR="00001B83" w:rsidTr="00001B83">
        <w:trPr>
          <w:trHeight w:val="675"/>
        </w:trPr>
        <w:tc>
          <w:tcPr>
            <w:tcW w:w="1620" w:type="dxa"/>
            <w:hideMark/>
          </w:tcPr>
          <w:p w:rsidR="00001B83" w:rsidRDefault="00001B83">
            <w:pPr>
              <w:spacing w:line="276" w:lineRule="auto"/>
              <w:rPr>
                <w:b/>
                <w:lang w:eastAsia="en-US"/>
              </w:rPr>
            </w:pPr>
            <w:r>
              <w:rPr>
                <w:b/>
                <w:lang w:eastAsia="en-US"/>
              </w:rPr>
              <w:t xml:space="preserve">   Összesen:                                         </w:t>
            </w:r>
          </w:p>
        </w:tc>
        <w:tc>
          <w:tcPr>
            <w:tcW w:w="4500" w:type="dxa"/>
          </w:tcPr>
          <w:p w:rsidR="00001B83" w:rsidRDefault="00001B83">
            <w:pPr>
              <w:spacing w:line="276" w:lineRule="auto"/>
              <w:rPr>
                <w:lang w:eastAsia="en-US"/>
              </w:rPr>
            </w:pPr>
          </w:p>
        </w:tc>
        <w:tc>
          <w:tcPr>
            <w:tcW w:w="2520" w:type="dxa"/>
            <w:hideMark/>
          </w:tcPr>
          <w:p w:rsidR="00001B83" w:rsidRDefault="00C574E1">
            <w:pPr>
              <w:spacing w:line="276" w:lineRule="auto"/>
              <w:jc w:val="center"/>
              <w:rPr>
                <w:b/>
                <w:lang w:eastAsia="en-US"/>
              </w:rPr>
            </w:pPr>
            <w:r>
              <w:rPr>
                <w:b/>
                <w:lang w:eastAsia="en-US"/>
              </w:rPr>
              <w:t xml:space="preserve">                  25. 655</w:t>
            </w:r>
            <w:r w:rsidR="00001B83">
              <w:rPr>
                <w:b/>
                <w:lang w:eastAsia="en-US"/>
              </w:rPr>
              <w:t xml:space="preserve"> e Ft</w:t>
            </w:r>
          </w:p>
        </w:tc>
      </w:tr>
      <w:tr w:rsidR="00001B83" w:rsidTr="00001B83">
        <w:tc>
          <w:tcPr>
            <w:tcW w:w="6120" w:type="dxa"/>
            <w:gridSpan w:val="2"/>
            <w:hideMark/>
          </w:tcPr>
          <w:p w:rsidR="00001B83" w:rsidRDefault="00001B83">
            <w:pPr>
              <w:spacing w:line="276" w:lineRule="auto"/>
              <w:rPr>
                <w:b/>
                <w:lang w:eastAsia="en-US"/>
              </w:rPr>
            </w:pPr>
            <w:r>
              <w:rPr>
                <w:b/>
                <w:lang w:eastAsia="en-US"/>
              </w:rPr>
              <w:t>Kiadások:</w:t>
            </w:r>
          </w:p>
        </w:tc>
        <w:tc>
          <w:tcPr>
            <w:tcW w:w="2520" w:type="dxa"/>
          </w:tcPr>
          <w:p w:rsidR="00001B83" w:rsidRDefault="00001B83">
            <w:pPr>
              <w:spacing w:line="276" w:lineRule="auto"/>
              <w:jc w:val="center"/>
              <w:rPr>
                <w:lang w:eastAsia="en-US"/>
              </w:rPr>
            </w:pPr>
          </w:p>
        </w:tc>
      </w:tr>
      <w:tr w:rsidR="00001B83" w:rsidTr="00001B83">
        <w:tc>
          <w:tcPr>
            <w:tcW w:w="1620" w:type="dxa"/>
          </w:tcPr>
          <w:p w:rsidR="00001B83" w:rsidRDefault="00001B83">
            <w:pPr>
              <w:spacing w:line="276" w:lineRule="auto"/>
              <w:jc w:val="center"/>
              <w:rPr>
                <w:lang w:eastAsia="en-US"/>
              </w:rPr>
            </w:pPr>
          </w:p>
        </w:tc>
        <w:tc>
          <w:tcPr>
            <w:tcW w:w="4500" w:type="dxa"/>
            <w:hideMark/>
          </w:tcPr>
          <w:p w:rsidR="00001B83" w:rsidRDefault="00001B83">
            <w:pPr>
              <w:spacing w:line="276" w:lineRule="auto"/>
              <w:rPr>
                <w:lang w:eastAsia="en-US"/>
              </w:rPr>
            </w:pPr>
            <w:r>
              <w:rPr>
                <w:lang w:eastAsia="en-US"/>
              </w:rPr>
              <w:t>-</w:t>
            </w:r>
            <w:r w:rsidR="00046A15">
              <w:rPr>
                <w:lang w:eastAsia="en-US"/>
              </w:rPr>
              <w:t xml:space="preserve"> </w:t>
            </w:r>
            <w:r>
              <w:rPr>
                <w:lang w:eastAsia="en-US"/>
              </w:rPr>
              <w:t>Dologi kiadások</w:t>
            </w:r>
            <w:r>
              <w:rPr>
                <w:lang w:eastAsia="en-US"/>
              </w:rPr>
              <w:br/>
              <w:t>(üzemeltetési és működési költségek)</w:t>
            </w:r>
          </w:p>
        </w:tc>
        <w:tc>
          <w:tcPr>
            <w:tcW w:w="2520" w:type="dxa"/>
            <w:hideMark/>
          </w:tcPr>
          <w:p w:rsidR="00001B83" w:rsidRDefault="00C574E1">
            <w:pPr>
              <w:pStyle w:val="Listaszerbekezds"/>
              <w:ind w:left="420"/>
              <w:rPr>
                <w:rFonts w:eastAsia="Times New Roman"/>
              </w:rPr>
            </w:pPr>
            <w:r>
              <w:t xml:space="preserve">              4. 155</w:t>
            </w:r>
            <w:r w:rsidR="00001B83">
              <w:t xml:space="preserve"> e Ft</w:t>
            </w:r>
          </w:p>
        </w:tc>
      </w:tr>
      <w:tr w:rsidR="00001B83" w:rsidTr="00001B83">
        <w:tc>
          <w:tcPr>
            <w:tcW w:w="1620" w:type="dxa"/>
          </w:tcPr>
          <w:p w:rsidR="00001B83" w:rsidRDefault="00001B83">
            <w:pPr>
              <w:spacing w:line="276" w:lineRule="auto"/>
              <w:jc w:val="center"/>
              <w:rPr>
                <w:lang w:eastAsia="en-US"/>
              </w:rPr>
            </w:pPr>
          </w:p>
        </w:tc>
        <w:tc>
          <w:tcPr>
            <w:tcW w:w="4500" w:type="dxa"/>
            <w:hideMark/>
          </w:tcPr>
          <w:p w:rsidR="00001B83" w:rsidRDefault="00001B83">
            <w:pPr>
              <w:spacing w:line="276" w:lineRule="auto"/>
              <w:rPr>
                <w:lang w:eastAsia="en-US"/>
              </w:rPr>
            </w:pPr>
            <w:r>
              <w:rPr>
                <w:lang w:eastAsia="en-US"/>
              </w:rPr>
              <w:t>-</w:t>
            </w:r>
            <w:r w:rsidR="00046A15">
              <w:rPr>
                <w:lang w:eastAsia="en-US"/>
              </w:rPr>
              <w:t xml:space="preserve"> </w:t>
            </w:r>
            <w:r>
              <w:rPr>
                <w:lang w:eastAsia="en-US"/>
              </w:rPr>
              <w:t>Személyi juttatások és azok járulékai:</w:t>
            </w:r>
          </w:p>
        </w:tc>
        <w:tc>
          <w:tcPr>
            <w:tcW w:w="2520" w:type="dxa"/>
            <w:hideMark/>
          </w:tcPr>
          <w:p w:rsidR="00001B83" w:rsidRDefault="00C574E1" w:rsidP="00674149">
            <w:pPr>
              <w:spacing w:line="276" w:lineRule="auto"/>
              <w:jc w:val="center"/>
              <w:rPr>
                <w:lang w:eastAsia="en-US"/>
              </w:rPr>
            </w:pPr>
            <w:r>
              <w:rPr>
                <w:lang w:eastAsia="en-US"/>
              </w:rPr>
              <w:t xml:space="preserve">                   21. 500</w:t>
            </w:r>
            <w:r w:rsidR="00001B83">
              <w:rPr>
                <w:lang w:eastAsia="en-US"/>
              </w:rPr>
              <w:t xml:space="preserve"> e Ft</w:t>
            </w:r>
          </w:p>
        </w:tc>
      </w:tr>
      <w:tr w:rsidR="00001B83" w:rsidTr="00001B83">
        <w:tc>
          <w:tcPr>
            <w:tcW w:w="6120" w:type="dxa"/>
            <w:gridSpan w:val="2"/>
            <w:hideMark/>
          </w:tcPr>
          <w:p w:rsidR="00001B83" w:rsidRDefault="00001B83">
            <w:pPr>
              <w:spacing w:line="276" w:lineRule="auto"/>
              <w:rPr>
                <w:b/>
                <w:lang w:eastAsia="en-US"/>
              </w:rPr>
            </w:pPr>
            <w:r>
              <w:rPr>
                <w:b/>
                <w:lang w:eastAsia="en-US"/>
              </w:rPr>
              <w:t>Összesen:</w:t>
            </w:r>
          </w:p>
        </w:tc>
        <w:tc>
          <w:tcPr>
            <w:tcW w:w="2520" w:type="dxa"/>
          </w:tcPr>
          <w:p w:rsidR="00001B83" w:rsidRDefault="00C574E1">
            <w:pPr>
              <w:spacing w:line="276" w:lineRule="auto"/>
              <w:jc w:val="center"/>
              <w:rPr>
                <w:b/>
                <w:lang w:eastAsia="en-US"/>
              </w:rPr>
            </w:pPr>
            <w:r>
              <w:rPr>
                <w:b/>
                <w:lang w:eastAsia="en-US"/>
              </w:rPr>
              <w:t xml:space="preserve">                  25. 655</w:t>
            </w:r>
            <w:r w:rsidR="001B47AF">
              <w:rPr>
                <w:b/>
                <w:lang w:eastAsia="en-US"/>
              </w:rPr>
              <w:t xml:space="preserve"> </w:t>
            </w:r>
            <w:r w:rsidR="00001B83">
              <w:rPr>
                <w:b/>
                <w:lang w:eastAsia="en-US"/>
              </w:rPr>
              <w:t>e Ft</w:t>
            </w:r>
          </w:p>
          <w:p w:rsidR="00001B83" w:rsidRDefault="00001B83">
            <w:pPr>
              <w:spacing w:line="276" w:lineRule="auto"/>
              <w:jc w:val="right"/>
              <w:rPr>
                <w:b/>
                <w:lang w:eastAsia="en-US"/>
              </w:rPr>
            </w:pPr>
          </w:p>
        </w:tc>
      </w:tr>
      <w:tr w:rsidR="00001B83" w:rsidTr="00001B83">
        <w:tc>
          <w:tcPr>
            <w:tcW w:w="6120" w:type="dxa"/>
            <w:gridSpan w:val="2"/>
          </w:tcPr>
          <w:p w:rsidR="00001B83" w:rsidRDefault="00001B83">
            <w:pPr>
              <w:spacing w:line="276" w:lineRule="auto"/>
              <w:rPr>
                <w:b/>
                <w:lang w:eastAsia="en-US"/>
              </w:rPr>
            </w:pPr>
          </w:p>
        </w:tc>
        <w:tc>
          <w:tcPr>
            <w:tcW w:w="2520" w:type="dxa"/>
          </w:tcPr>
          <w:p w:rsidR="00001B83" w:rsidRDefault="00001B83">
            <w:pPr>
              <w:spacing w:line="276" w:lineRule="auto"/>
              <w:jc w:val="right"/>
              <w:rPr>
                <w:lang w:eastAsia="en-US"/>
              </w:rPr>
            </w:pPr>
          </w:p>
        </w:tc>
      </w:tr>
      <w:tr w:rsidR="00001B83" w:rsidTr="00001B83">
        <w:trPr>
          <w:trHeight w:val="576"/>
        </w:trPr>
        <w:tc>
          <w:tcPr>
            <w:tcW w:w="6120" w:type="dxa"/>
            <w:gridSpan w:val="2"/>
            <w:hideMark/>
          </w:tcPr>
          <w:p w:rsidR="00001B83" w:rsidRDefault="00001B83">
            <w:pPr>
              <w:spacing w:line="276" w:lineRule="auto"/>
              <w:rPr>
                <w:lang w:eastAsia="en-US"/>
              </w:rPr>
            </w:pPr>
            <w:r>
              <w:rPr>
                <w:b/>
                <w:lang w:eastAsia="en-US"/>
              </w:rPr>
              <w:t>Egyéb támogatások:</w:t>
            </w:r>
          </w:p>
        </w:tc>
        <w:tc>
          <w:tcPr>
            <w:tcW w:w="2520" w:type="dxa"/>
          </w:tcPr>
          <w:p w:rsidR="00001B83" w:rsidRDefault="00001B83">
            <w:pPr>
              <w:spacing w:line="276" w:lineRule="auto"/>
              <w:jc w:val="right"/>
              <w:rPr>
                <w:lang w:eastAsia="en-US"/>
              </w:rPr>
            </w:pPr>
          </w:p>
          <w:p w:rsidR="00001B83" w:rsidRDefault="00001B83">
            <w:pPr>
              <w:spacing w:line="276" w:lineRule="auto"/>
              <w:jc w:val="right"/>
              <w:rPr>
                <w:lang w:eastAsia="en-US"/>
              </w:rPr>
            </w:pPr>
            <w:r>
              <w:rPr>
                <w:lang w:eastAsia="en-US"/>
              </w:rPr>
              <w:t xml:space="preserve"> </w:t>
            </w:r>
          </w:p>
          <w:p w:rsidR="00001B83" w:rsidRDefault="00001B83">
            <w:pPr>
              <w:spacing w:line="276" w:lineRule="auto"/>
              <w:jc w:val="right"/>
              <w:rPr>
                <w:lang w:eastAsia="en-US"/>
              </w:rPr>
            </w:pPr>
          </w:p>
        </w:tc>
      </w:tr>
      <w:tr w:rsidR="00001B83" w:rsidTr="00001B83">
        <w:tc>
          <w:tcPr>
            <w:tcW w:w="6120" w:type="dxa"/>
            <w:gridSpan w:val="2"/>
            <w:hideMark/>
          </w:tcPr>
          <w:p w:rsidR="00001B83" w:rsidRDefault="00001B83">
            <w:pPr>
              <w:spacing w:line="276" w:lineRule="auto"/>
              <w:rPr>
                <w:lang w:eastAsia="en-US"/>
              </w:rPr>
            </w:pPr>
            <w:r>
              <w:rPr>
                <w:lang w:eastAsia="en-US"/>
              </w:rPr>
              <w:t>Nemzeti Óvodamúzeum Alapítvány támogatása (gyűjteménygyarapításra, szakmai kiadások finanszírozása):</w:t>
            </w:r>
          </w:p>
        </w:tc>
        <w:tc>
          <w:tcPr>
            <w:tcW w:w="2520" w:type="dxa"/>
          </w:tcPr>
          <w:p w:rsidR="00001B83" w:rsidRDefault="004E35D1" w:rsidP="00674149">
            <w:pPr>
              <w:spacing w:line="276" w:lineRule="auto"/>
              <w:jc w:val="center"/>
              <w:rPr>
                <w:lang w:eastAsia="en-US"/>
              </w:rPr>
            </w:pPr>
            <w:r>
              <w:rPr>
                <w:lang w:eastAsia="en-US"/>
              </w:rPr>
              <w:t xml:space="preserve">                        7</w:t>
            </w:r>
            <w:r w:rsidR="00974925">
              <w:rPr>
                <w:lang w:eastAsia="en-US"/>
              </w:rPr>
              <w:t>0</w:t>
            </w:r>
            <w:r w:rsidR="00001B83">
              <w:rPr>
                <w:lang w:eastAsia="en-US"/>
              </w:rPr>
              <w:t xml:space="preserve"> e Ft</w:t>
            </w:r>
          </w:p>
          <w:p w:rsidR="00001B83" w:rsidRDefault="00001B83">
            <w:pPr>
              <w:pStyle w:val="Listaszerbekezds"/>
              <w:rPr>
                <w:rFonts w:eastAsia="Times New Roman"/>
                <w:color w:val="FF0000"/>
              </w:rPr>
            </w:pPr>
          </w:p>
        </w:tc>
      </w:tr>
      <w:tr w:rsidR="00001B83" w:rsidTr="00001B83">
        <w:tc>
          <w:tcPr>
            <w:tcW w:w="6120" w:type="dxa"/>
            <w:gridSpan w:val="2"/>
          </w:tcPr>
          <w:p w:rsidR="00001B83" w:rsidRDefault="00001B83">
            <w:pPr>
              <w:spacing w:line="276" w:lineRule="auto"/>
              <w:rPr>
                <w:lang w:eastAsia="en-US"/>
              </w:rPr>
            </w:pPr>
          </w:p>
        </w:tc>
        <w:tc>
          <w:tcPr>
            <w:tcW w:w="2520" w:type="dxa"/>
          </w:tcPr>
          <w:p w:rsidR="00001B83" w:rsidRDefault="00001B83">
            <w:pPr>
              <w:spacing w:line="276" w:lineRule="auto"/>
              <w:jc w:val="right"/>
              <w:rPr>
                <w:lang w:eastAsia="en-US"/>
              </w:rPr>
            </w:pPr>
          </w:p>
        </w:tc>
      </w:tr>
    </w:tbl>
    <w:p w:rsidR="00001B83" w:rsidRDefault="00001B83" w:rsidP="00001B83">
      <w:pPr>
        <w:ind w:firstLine="708"/>
        <w:jc w:val="both"/>
      </w:pPr>
      <w:r>
        <w:t>Gazdálkodásunkat a kiadási oldalon a</w:t>
      </w:r>
      <w:r w:rsidR="00B525AE">
        <w:t xml:space="preserve"> korábbi évekhez hasonló</w:t>
      </w:r>
      <w:r>
        <w:t xml:space="preserve"> takarékosság jellemezte, kiadásaink az elengedhetetlenül szükséges létesítményüzemeltetési és működési, valamint bérköltségekre korlátozódtak, a gyűjteménygyarapítással kapcsolatos szakmai kiadásokat teljes egészében külső, alapítványi forrásokból fedeztük (a Nemzeti Óvodamúzeum A</w:t>
      </w:r>
      <w:r w:rsidR="004E35D1">
        <w:t>lapítvány 7</w:t>
      </w:r>
      <w:r w:rsidR="00974925">
        <w:t>0</w:t>
      </w:r>
      <w:r>
        <w:t xml:space="preserve"> ezer forint támogatásából). Ily módon sikerült a költségvetés keretein belül megoldani a szakfeladat működését. </w:t>
      </w:r>
      <w:r w:rsidR="004E35D1">
        <w:rPr>
          <w:b/>
        </w:rPr>
        <w:t>2025</w:t>
      </w:r>
      <w:r w:rsidR="00974925">
        <w:rPr>
          <w:b/>
        </w:rPr>
        <w:t>-be</w:t>
      </w:r>
      <w:r>
        <w:rPr>
          <w:b/>
        </w:rPr>
        <w:t>n</w:t>
      </w:r>
      <w:r>
        <w:t xml:space="preserve"> </w:t>
      </w:r>
      <w:r>
        <w:rPr>
          <w:b/>
        </w:rPr>
        <w:t>az Önkormányz</w:t>
      </w:r>
      <w:r w:rsidR="00046A15">
        <w:rPr>
          <w:b/>
        </w:rPr>
        <w:t>at fenntartói támogatása 21.</w:t>
      </w:r>
      <w:r w:rsidR="00C574E1">
        <w:rPr>
          <w:b/>
        </w:rPr>
        <w:t>655</w:t>
      </w:r>
      <w:r>
        <w:rPr>
          <w:b/>
        </w:rPr>
        <w:t xml:space="preserve"> ezer Ft volt. </w:t>
      </w:r>
    </w:p>
    <w:p w:rsidR="00001B83" w:rsidRDefault="00001B83" w:rsidP="00001B83">
      <w:pPr>
        <w:jc w:val="both"/>
        <w:rPr>
          <w:b/>
        </w:rPr>
      </w:pPr>
    </w:p>
    <w:p w:rsidR="00001B83" w:rsidRDefault="00001B83" w:rsidP="00001B83">
      <w:pPr>
        <w:jc w:val="both"/>
        <w:rPr>
          <w:b/>
        </w:rPr>
      </w:pPr>
      <w:r>
        <w:rPr>
          <w:b/>
        </w:rPr>
        <w:lastRenderedPageBreak/>
        <w:t>Személyi feltételek</w:t>
      </w:r>
    </w:p>
    <w:p w:rsidR="00001B83" w:rsidRDefault="00001B83" w:rsidP="00001B83">
      <w:pPr>
        <w:jc w:val="center"/>
        <w:rPr>
          <w:b/>
        </w:rPr>
      </w:pPr>
    </w:p>
    <w:p w:rsidR="00001B83" w:rsidRDefault="00001B83" w:rsidP="00001B83">
      <w:pPr>
        <w:jc w:val="both"/>
      </w:pPr>
      <w:r>
        <w:t>Az Óvodamúzeum két alkalmazotti státusszal rendelkezett az elmúlt évben. Két főállású, teljes munkaidős alkalmazott − egy muzeológus és egy múzeumi asszisztens − végezte a múzeummal kapcsolatos feladatokat. A muzeológus ezek mellett a közgyűjteményi csoportvezető feladatkört is ellátta. Ez utóbbi beosztásából kifolyólag könyvtáros</w:t>
      </w:r>
      <w:r w:rsidR="000E0382">
        <w:t xml:space="preserve"> hiányában</w:t>
      </w:r>
      <w:r>
        <w:t xml:space="preserve"> végezte a könyvtáros, illetve könyvtár</w:t>
      </w:r>
      <w:r w:rsidR="00B10AD2">
        <w:t>vezetői feladatokat, szabadság és betegség esetén</w:t>
      </w:r>
      <w:r>
        <w:t xml:space="preserve"> helyettesítette a könyvtári asszisztenst, ellátta az olvasószolgálati feladatokat valamint egész évben a Martonvásári Városi Könyvtárat érintő koordinációs, szervezési és adminisztrációs tevékenységet.  </w:t>
      </w:r>
    </w:p>
    <w:p w:rsidR="000E0382" w:rsidRDefault="00001B83" w:rsidP="00001B83">
      <w:pPr>
        <w:ind w:firstLine="540"/>
        <w:jc w:val="both"/>
      </w:pPr>
      <w:r>
        <w:t>A múzeum munkatársainak munkája általában márciustól novemberig a látogatók és kutatók kiszolgálására, illetve napi feladatok elvégzésére összpontosul, így a jogszabályban előírt muzeológiai-szakmai munkára kevesebb lehetőség nyílik, ezek végzésére a mérsékeltebb láto</w:t>
      </w:r>
      <w:r w:rsidR="000E0382">
        <w:t>gatottságú téli hónapokban van</w:t>
      </w:r>
      <w:r w:rsidR="0034575E">
        <w:t xml:space="preserve"> mód</w:t>
      </w:r>
      <w:r>
        <w:t xml:space="preserve">. </w:t>
      </w:r>
    </w:p>
    <w:p w:rsidR="00001B83" w:rsidRDefault="00001B83" w:rsidP="00001B83">
      <w:pPr>
        <w:ind w:firstLine="540"/>
        <w:jc w:val="both"/>
      </w:pPr>
      <w:r>
        <w:t>A múzeum munkatársai végezték az Információs Pont és a Könyvtárnak az Óvodamúzeumban működő rendkívül népszerű fénymásolási, nyomtatási</w:t>
      </w:r>
      <w:r w:rsidR="00046A15">
        <w:t xml:space="preserve"> és városmarketing tárgyak értékesítési</w:t>
      </w:r>
      <w:r>
        <w:t xml:space="preserve"> lakossági szolgáltatásának működtetését.</w:t>
      </w:r>
      <w:r w:rsidR="000E0382">
        <w:t xml:space="preserve"> </w:t>
      </w:r>
    </w:p>
    <w:p w:rsidR="00001B83" w:rsidRDefault="00001B83" w:rsidP="00001B83">
      <w:pPr>
        <w:ind w:firstLine="540"/>
        <w:jc w:val="both"/>
      </w:pPr>
    </w:p>
    <w:p w:rsidR="00001B83" w:rsidRDefault="00001B83" w:rsidP="00001B83">
      <w:pPr>
        <w:rPr>
          <w:b/>
        </w:rPr>
      </w:pPr>
      <w:r>
        <w:rPr>
          <w:b/>
        </w:rPr>
        <w:t>Látogatottság</w:t>
      </w:r>
    </w:p>
    <w:p w:rsidR="00001B83" w:rsidRDefault="00001B83" w:rsidP="00001B83">
      <w:pPr>
        <w:ind w:firstLine="540"/>
        <w:jc w:val="center"/>
        <w:rPr>
          <w:b/>
        </w:rPr>
      </w:pPr>
    </w:p>
    <w:p w:rsidR="00001B83" w:rsidRDefault="00001B83" w:rsidP="00001B83">
      <w:pPr>
        <w:jc w:val="both"/>
      </w:pPr>
      <w:r>
        <w:t>Martonvás</w:t>
      </w:r>
      <w:r w:rsidR="000E0382">
        <w:t>ár turisztikai jelentőségét 202</w:t>
      </w:r>
      <w:r w:rsidR="004E35D1">
        <w:t>5</w:t>
      </w:r>
      <w:r w:rsidR="00974925">
        <w:t>-be</w:t>
      </w:r>
      <w:r>
        <w:t xml:space="preserve">n is sikerült megtartani, az ország első 80, turisták által leglátogatottabb helyei közé tartozik. Különösen szerencsésen illeszkedik a múzeum a − kastélypark, a kastély, a Beethoven Emlékmúzeum és a hangversenyek, </w:t>
      </w:r>
      <w:proofErr w:type="spellStart"/>
      <w:r>
        <w:t>Agroverzum</w:t>
      </w:r>
      <w:proofErr w:type="spellEnd"/>
      <w:r>
        <w:t>, valamint a Fő tér és az ott felállított „Beethoven és a halhatatlan k</w:t>
      </w:r>
      <w:r w:rsidR="007E46A1">
        <w:t xml:space="preserve">edves” szobor által alkotott − </w:t>
      </w:r>
      <w:r>
        <w:t xml:space="preserve">Beethoven és Brunszvik kultuszközpont művelődéstörténeti közegébe, mely </w:t>
      </w:r>
      <w:r w:rsidR="00046A15">
        <w:t xml:space="preserve">korábban </w:t>
      </w:r>
      <w:r>
        <w:t>tov</w:t>
      </w:r>
      <w:r w:rsidR="00B10AD2">
        <w:t>ább gazdagodott, a többek között</w:t>
      </w:r>
      <w:r>
        <w:t xml:space="preserve"> nemzetünk egyik legjelentősebb nőalakjának, Teleki Blankának emléket állító</w:t>
      </w:r>
      <w:r w:rsidR="000E0382">
        <w:t xml:space="preserve"> </w:t>
      </w:r>
      <w:r>
        <w:t xml:space="preserve">Brunszvik–Teleki–de Gérando emlékszobával. </w:t>
      </w:r>
    </w:p>
    <w:p w:rsidR="00001B83" w:rsidRDefault="00001B83" w:rsidP="00001B83">
      <w:pPr>
        <w:ind w:firstLine="540"/>
        <w:jc w:val="both"/>
      </w:pPr>
      <w:r>
        <w:t xml:space="preserve">A turizmus adta lehetőséget a tárgyévben is igyekeztünk maximálisan kiaknázni. Amennyiben szükséges volt a nyitva tartást kiterjesztettük a hétfői szünnapra, illetve a kora délelőtti és esti órákra is. </w:t>
      </w:r>
      <w:r w:rsidR="004E35D1">
        <w:rPr>
          <w:b/>
        </w:rPr>
        <w:t>2025</w:t>
      </w:r>
      <w:r w:rsidR="00974925">
        <w:rPr>
          <w:b/>
        </w:rPr>
        <w:t>-be</w:t>
      </w:r>
      <w:r>
        <w:rPr>
          <w:b/>
        </w:rPr>
        <w:t>n</w:t>
      </w:r>
      <w:r w:rsidR="00974925">
        <w:rPr>
          <w:b/>
        </w:rPr>
        <w:t xml:space="preserve"> az előző évekhez hasonlóan</w:t>
      </w:r>
      <w:r w:rsidR="004E35D1">
        <w:rPr>
          <w:b/>
        </w:rPr>
        <w:t xml:space="preserve"> 10.889</w:t>
      </w:r>
      <w:r>
        <w:rPr>
          <w:b/>
        </w:rPr>
        <w:t xml:space="preserve"> látogató kereste fel a múzeum kiállítását, </w:t>
      </w:r>
      <w:r w:rsidR="004E35D1">
        <w:t>így a megye</w:t>
      </w:r>
      <w:r>
        <w:t xml:space="preserve"> leglátogatottabb múzeuma</w:t>
      </w:r>
      <w:r w:rsidR="004E35D1">
        <w:t>i</w:t>
      </w:r>
      <w:r>
        <w:t xml:space="preserve"> közé tartozunk. A</w:t>
      </w:r>
      <w:r w:rsidR="004E35D1">
        <w:t xml:space="preserve"> látogatók 67 %-a vásárolt belépőjegyet, 33</w:t>
      </w:r>
      <w:r>
        <w:t xml:space="preserve"> %-a ingyenesen tekintette meg a kiállítást a 194/2000. (XI. 24.) Korm. </w:t>
      </w:r>
      <w:proofErr w:type="gramStart"/>
      <w:r>
        <w:t>rendelet</w:t>
      </w:r>
      <w:proofErr w:type="gramEnd"/>
      <w:r>
        <w:t xml:space="preserve"> illetve fenntartói rendelkezések előírásai alapján, továbbá az ingyenes rendezvények keretében.</w:t>
      </w:r>
    </w:p>
    <w:p w:rsidR="00001B83" w:rsidRDefault="00001B83" w:rsidP="00BA3DF8">
      <w:pPr>
        <w:ind w:firstLine="540"/>
        <w:jc w:val="both"/>
      </w:pPr>
      <w:r>
        <w:t xml:space="preserve">Elsősorban az alsó tagozatos iskolai csoportok és a családok körében voltak népszerűek az EFOP-4.9-16 számú, „A tudás bölcsője a Martonvásári Óvodatörténeti </w:t>
      </w:r>
      <w:proofErr w:type="gramStart"/>
      <w:r>
        <w:t>Gyűjtemény”</w:t>
      </w:r>
      <w:r>
        <w:rPr>
          <w:b/>
        </w:rPr>
        <w:t xml:space="preserve"> </w:t>
      </w:r>
      <w:r>
        <w:t xml:space="preserve"> című</w:t>
      </w:r>
      <w:proofErr w:type="gramEnd"/>
      <w:r>
        <w:t xml:space="preserve"> pályázat keretében kialakított </w:t>
      </w:r>
      <w:r w:rsidRPr="001B47AF">
        <w:rPr>
          <w:b/>
        </w:rPr>
        <w:t>múzeumpedagógiai oktatóterem</w:t>
      </w:r>
      <w:r>
        <w:t xml:space="preserve"> nyújtotta lehetőségek, melyeket </w:t>
      </w:r>
      <w:r w:rsidR="004E35D1">
        <w:rPr>
          <w:b/>
        </w:rPr>
        <w:t>5555</w:t>
      </w:r>
      <w:r w:rsidR="00BA3DF8" w:rsidRPr="001B47AF">
        <w:rPr>
          <w:b/>
        </w:rPr>
        <w:t xml:space="preserve"> </w:t>
      </w:r>
      <w:r w:rsidRPr="001B47AF">
        <w:rPr>
          <w:b/>
        </w:rPr>
        <w:t>fő</w:t>
      </w:r>
      <w:r>
        <w:t xml:space="preserve"> vett igénybe. Mindeze</w:t>
      </w:r>
      <w:r w:rsidR="00BA3DF8">
        <w:t>k</w:t>
      </w:r>
      <w:r w:rsidR="004E35D1">
        <w:t xml:space="preserve"> mellett 1114</w:t>
      </w:r>
      <w:r w:rsidR="003B33CE">
        <w:t xml:space="preserve"> fő részvételével 98</w:t>
      </w:r>
      <w:r>
        <w:t xml:space="preserve"> egyéb</w:t>
      </w:r>
      <w:r w:rsidR="00BA3DF8">
        <w:t>, az alaptevékenységtől független</w:t>
      </w:r>
      <w:r>
        <w:t xml:space="preserve"> rendezvény (képzés, közösségi összejövetel</w:t>
      </w:r>
      <w:r w:rsidR="00BA3DF8">
        <w:t>, fogadás</w:t>
      </w:r>
      <w:r>
        <w:t>) ke</w:t>
      </w:r>
      <w:r w:rsidR="00BA3DF8">
        <w:t>rült lebonyolítás</w:t>
      </w:r>
      <w:r w:rsidR="004E35D1">
        <w:t>ra a múzeumban, többek között</w:t>
      </w:r>
      <w:r w:rsidR="00BA3DF8">
        <w:t xml:space="preserve"> a Társasjáték Klub és a Martonvásári Folyton Folt</w:t>
      </w:r>
      <w:r w:rsidR="004E35D1">
        <w:t xml:space="preserve"> kör valamint az Adventi Készülődők</w:t>
      </w:r>
      <w:r w:rsidR="00BA3DF8">
        <w:t xml:space="preserve"> csop</w:t>
      </w:r>
      <w:r w:rsidR="00793BA9">
        <w:t>o</w:t>
      </w:r>
      <w:r w:rsidR="00BA3DF8">
        <w:t xml:space="preserve">rt </w:t>
      </w:r>
      <w:r w:rsidR="0002170A">
        <w:t>és</w:t>
      </w:r>
      <w:r w:rsidR="004E35D1">
        <w:t xml:space="preserve"> a</w:t>
      </w:r>
      <w:r w:rsidR="0002170A">
        <w:t xml:space="preserve"> MartonVál Sakk Club szakköre </w:t>
      </w:r>
      <w:r w:rsidR="00BA3DF8">
        <w:t>tartotta itt ren</w:t>
      </w:r>
      <w:r w:rsidR="00793BA9">
        <w:t>dszeres összejöveteleit</w:t>
      </w:r>
      <w:r w:rsidR="00BA3DF8">
        <w:t>.</w:t>
      </w:r>
      <w:r>
        <w:t xml:space="preserve"> </w:t>
      </w:r>
    </w:p>
    <w:p w:rsidR="00001B83" w:rsidRDefault="00001B83" w:rsidP="00001B83">
      <w:pPr>
        <w:ind w:firstLine="540"/>
        <w:jc w:val="both"/>
        <w:rPr>
          <w:b/>
        </w:rPr>
      </w:pPr>
      <w:r>
        <w:rPr>
          <w:b/>
        </w:rPr>
        <w:t>Az Óvodamúzeum által működtetett Brunszvik–</w:t>
      </w:r>
      <w:r w:rsidR="00793BA9">
        <w:rPr>
          <w:b/>
        </w:rPr>
        <w:t>Tel</w:t>
      </w:r>
      <w:r w:rsidR="004E35D1">
        <w:rPr>
          <w:b/>
        </w:rPr>
        <w:t>eki–de Gérando emlékszobát 10.067-e</w:t>
      </w:r>
      <w:r>
        <w:rPr>
          <w:b/>
        </w:rPr>
        <w:t>n nézték meg.</w:t>
      </w:r>
    </w:p>
    <w:p w:rsidR="00001B83" w:rsidRDefault="00001B83" w:rsidP="000E0382">
      <w:pPr>
        <w:ind w:firstLine="540"/>
        <w:jc w:val="both"/>
        <w:rPr>
          <w:b/>
        </w:rPr>
      </w:pPr>
      <w:r>
        <w:rPr>
          <w:b/>
        </w:rPr>
        <w:t xml:space="preserve"> A múzeumi</w:t>
      </w:r>
      <w:r>
        <w:t xml:space="preserve"> </w:t>
      </w:r>
      <w:r w:rsidR="004E35D1">
        <w:rPr>
          <w:b/>
        </w:rPr>
        <w:t>belépődíjakból 3.675</w:t>
      </w:r>
      <w:r>
        <w:rPr>
          <w:b/>
        </w:rPr>
        <w:t xml:space="preserve"> ezer forint</w:t>
      </w:r>
      <w:r w:rsidR="000E0382">
        <w:t xml:space="preserve">, a múzeumpedagógiai oktatóterem </w:t>
      </w:r>
      <w:r w:rsidR="000E0382" w:rsidRPr="000E0382">
        <w:rPr>
          <w:b/>
        </w:rPr>
        <w:t>bérbeadásából</w:t>
      </w:r>
      <w:r w:rsidR="000E0382">
        <w:t xml:space="preserve"> pedig </w:t>
      </w:r>
      <w:r w:rsidR="004E35D1">
        <w:rPr>
          <w:b/>
        </w:rPr>
        <w:t>további 25</w:t>
      </w:r>
      <w:r w:rsidR="000E0382" w:rsidRPr="000E0382">
        <w:rPr>
          <w:b/>
        </w:rPr>
        <w:t xml:space="preserve"> e Ft</w:t>
      </w:r>
      <w:r w:rsidR="00A97669">
        <w:t xml:space="preserve"> </w:t>
      </w:r>
      <w:r>
        <w:rPr>
          <w:b/>
        </w:rPr>
        <w:t xml:space="preserve">bevétel keletkezett. </w:t>
      </w:r>
    </w:p>
    <w:p w:rsidR="0002170A" w:rsidRDefault="0002170A" w:rsidP="000E0382">
      <w:pPr>
        <w:ind w:firstLine="540"/>
        <w:jc w:val="both"/>
        <w:rPr>
          <w:b/>
        </w:rPr>
      </w:pPr>
    </w:p>
    <w:p w:rsidR="0002170A" w:rsidRDefault="0002170A" w:rsidP="000E0382">
      <w:pPr>
        <w:ind w:firstLine="540"/>
        <w:jc w:val="both"/>
      </w:pPr>
    </w:p>
    <w:p w:rsidR="00001B83" w:rsidRDefault="00001B83" w:rsidP="00001B83">
      <w:pPr>
        <w:ind w:firstLine="540"/>
        <w:jc w:val="both"/>
      </w:pPr>
    </w:p>
    <w:p w:rsidR="00001B83" w:rsidRDefault="00001B83" w:rsidP="00001B83">
      <w:pPr>
        <w:ind w:firstLine="540"/>
        <w:jc w:val="both"/>
      </w:pPr>
    </w:p>
    <w:p w:rsidR="00001B83" w:rsidRDefault="00001B83" w:rsidP="00001B83">
      <w:pPr>
        <w:jc w:val="both"/>
        <w:rPr>
          <w:b/>
        </w:rPr>
      </w:pPr>
    </w:p>
    <w:p w:rsidR="00001B83" w:rsidRDefault="00001B83" w:rsidP="00001B83">
      <w:pPr>
        <w:jc w:val="both"/>
      </w:pPr>
      <w:r>
        <w:rPr>
          <w:b/>
        </w:rPr>
        <w:t>Szakmai és közművelődési tevékenység</w:t>
      </w:r>
    </w:p>
    <w:p w:rsidR="00001B83" w:rsidRDefault="00001B83" w:rsidP="00001B83">
      <w:pPr>
        <w:ind w:firstLine="540"/>
        <w:jc w:val="center"/>
        <w:rPr>
          <w:b/>
        </w:rPr>
      </w:pPr>
    </w:p>
    <w:p w:rsidR="00001B83" w:rsidRDefault="00001B83" w:rsidP="00001B83">
      <w:pPr>
        <w:jc w:val="both"/>
      </w:pPr>
      <w:r>
        <w:t>A múzeumban folyó szakmai munkát jogszabályi keretek határozzák meg. Mindennapos feladat a gyűjtemény gyarapítása mellett a gyűjteményi anyag nyilvántartásba vétele, rendezése, tudományos feldolgozása. A múzeum gyűjteménye több részből áll: történeti tárgyi, könyvtári, fotó és adattári gyűjteményből.</w:t>
      </w:r>
    </w:p>
    <w:p w:rsidR="00001B83" w:rsidRDefault="00001B83" w:rsidP="00001B83">
      <w:pPr>
        <w:ind w:firstLine="540"/>
        <w:jc w:val="both"/>
      </w:pPr>
      <w:r>
        <w:t>20</w:t>
      </w:r>
      <w:r w:rsidR="003B33CE">
        <w:t>25</w:t>
      </w:r>
      <w:r w:rsidR="00265755">
        <w:t>-</w:t>
      </w:r>
      <w:r w:rsidR="0002170A">
        <w:t>be</w:t>
      </w:r>
      <w:r>
        <w:t xml:space="preserve">n számottevően csak a múzeum könyvtári gyűjteménye gyarapodott. Az új szerzemények főként ajándékozás és gyűjtés, illetve a Nemzeti Óvodamúzeum Alapítvány vásárlása útján kerültek gyűjteményünkbe. </w:t>
      </w:r>
    </w:p>
    <w:p w:rsidR="00001B83" w:rsidRDefault="00001B83" w:rsidP="00001B83">
      <w:pPr>
        <w:ind w:firstLine="540"/>
        <w:jc w:val="both"/>
      </w:pPr>
      <w:r>
        <w:t xml:space="preserve"> Mivel a muzeális intézmény országos gyűjtőkörrel rendelkezik és hazánkban egyedülálló a témában, számos megkeresést kapunk az e</w:t>
      </w:r>
      <w:r w:rsidR="001B47AF">
        <w:t>gé</w:t>
      </w:r>
      <w:r w:rsidR="0002170A">
        <w:t>sz országból. Az év folyamán három</w:t>
      </w:r>
      <w:r>
        <w:t xml:space="preserve"> óvodatörténeti időszaki kiállítás megrendezését segítettük szakmai</w:t>
      </w:r>
      <w:r w:rsidR="001B47AF">
        <w:t xml:space="preserve"> tanácsokkal</w:t>
      </w:r>
      <w:r w:rsidR="00C574E1">
        <w:t>. Miklós Gergely hat</w:t>
      </w:r>
      <w:r>
        <w:t xml:space="preserve"> alkalommal tartott előadást pedagógiatörténeti tárgyú rendezvényen. </w:t>
      </w:r>
    </w:p>
    <w:p w:rsidR="00001B83" w:rsidRDefault="00001B83" w:rsidP="00001B83">
      <w:pPr>
        <w:ind w:firstLine="540"/>
        <w:jc w:val="both"/>
      </w:pPr>
      <w:r>
        <w:t xml:space="preserve">Az elmúlt </w:t>
      </w:r>
      <w:r w:rsidR="003B33CE">
        <w:t>esztendőben a 35</w:t>
      </w:r>
      <w:r>
        <w:t xml:space="preserve"> alkalommal kereste fel gyűjteményünket, és kért munkájához vagy tanulmányaihoz segítséget Martonvásár helytörténete, illetve az óvodatörténet iránt érdeklődő kutató, valamint felsőoktatási hallgató. Ez esetekben a szakmai tanácsadás mellett irodalomkutatással és tartalomszolgáltatással segítettük a kutatókat, illetve rendelkezésére bocsátottuk szakkönyvtárunkat kutatási célokra. Folytattuk a XX. század első felében megjelent periodikák óvodatörténet tárgyú írásainak felkutatását és archívumunk részére történő gyűjtését. A múzeum kezeli a Brunszvik Teréz Szellemi Hagyatéka Alapítvány Brunszvik Teréz archívumát, tevőlegesen közreműködik Brunszvik Teréz naplókiadásának következő kötetének szerkesztésében. Szintén az Óvodamúzeum gondozza a Brunszvik család leszármazottja, de </w:t>
      </w:r>
      <w:proofErr w:type="spellStart"/>
      <w:r>
        <w:t>Gérando</w:t>
      </w:r>
      <w:proofErr w:type="spellEnd"/>
      <w:r>
        <w:t xml:space="preserve"> </w:t>
      </w:r>
      <w:proofErr w:type="spellStart"/>
      <w:r>
        <w:t>Judith</w:t>
      </w:r>
      <w:proofErr w:type="spellEnd"/>
      <w:r>
        <w:t xml:space="preserve"> által adományozott a Brunszvik, Teleki és de Gérando család múltját őrző, elsősorban képzőművészeti alkotásokból álló családi gyűjteményt, működteti az ezt bemutató emlékszobát. Ez utóbbi a városunkba látogatók körében nagy sikerre talált, hiánypótló módon Teleki Blanka legjelentősebb hazai kultuszhelyévé vált, többen is ennek megtekintése céljából érkeztek vá</w:t>
      </w:r>
      <w:r w:rsidR="00130942">
        <w:t>rosunkba. A tár</w:t>
      </w:r>
      <w:r w:rsidR="003B33CE">
        <w:t>gyévben több mint</w:t>
      </w:r>
      <w:r>
        <w:t xml:space="preserve"> 10 ezer, 2016. évi </w:t>
      </w:r>
      <w:r w:rsidR="00B10AD2">
        <w:t>megnyitóját követően össz</w:t>
      </w:r>
      <w:r w:rsidR="00687F8F">
        <w:t>esen 8</w:t>
      </w:r>
      <w:r w:rsidR="00B10AD2">
        <w:t>4</w:t>
      </w:r>
      <w:r>
        <w:t xml:space="preserve"> ezer látogatója volt. Itt is, akárcsak az Óvodamúzeum kiállítása esetében, fontosnak tartottuk, hogy minden azt igénylő látogató korának és érdeklődésének megfelelő szóbeli tájékoztatást, vez</w:t>
      </w:r>
      <w:r w:rsidR="00AA1BB0">
        <w:t>etést kapjon. Az év folyamán 176</w:t>
      </w:r>
      <w:r>
        <w:t xml:space="preserve"> tárlatvezetést tartottunk. </w:t>
      </w:r>
    </w:p>
    <w:p w:rsidR="00927959" w:rsidRDefault="001B47AF" w:rsidP="00001B83">
      <w:pPr>
        <w:ind w:firstLine="540"/>
        <w:jc w:val="both"/>
      </w:pPr>
      <w:r>
        <w:t>Tanintézetek k</w:t>
      </w:r>
      <w:r w:rsidR="003B33CE">
        <w:t>érésére 29</w:t>
      </w:r>
      <w:r w:rsidR="00001B83">
        <w:t xml:space="preserve"> esetben szerveztünk múzeumi tan</w:t>
      </w:r>
      <w:r w:rsidR="00687F8F">
        <w:t>ór</w:t>
      </w:r>
      <w:r w:rsidR="003B33CE">
        <w:t>át általános iskolásoknak. 10</w:t>
      </w:r>
      <w:r w:rsidR="00001B83">
        <w:t xml:space="preserve"> alkalommal kisgyermekekkel összef</w:t>
      </w:r>
      <w:r w:rsidR="00687F8F">
        <w:t>üggő középfokú képzésben, hatszor</w:t>
      </w:r>
      <w:r w:rsidR="00001B83">
        <w:t xml:space="preserve"> pedig felsőfokú pedagógiai képzésben résztvevő csoportoknak tartottunk a kiállításra épülő neveléstörténeti szemináriumi foglalkozást a múzeumban.</w:t>
      </w:r>
    </w:p>
    <w:p w:rsidR="00B84419" w:rsidRDefault="00927959" w:rsidP="00B84419">
      <w:pPr>
        <w:spacing w:line="252" w:lineRule="auto"/>
        <w:ind w:firstLine="540"/>
        <w:jc w:val="both"/>
      </w:pPr>
      <w:r>
        <w:t>Az év folyamán Brunszvik Teréz</w:t>
      </w:r>
      <w:r w:rsidR="00A20B53">
        <w:t xml:space="preserve"> születésének 250. évfordulójának megünneplése kapcsán</w:t>
      </w:r>
      <w:r>
        <w:t xml:space="preserve"> több intézmény is kérte múzeumunk segítségét. A 2025. évi emlékévhez kapcsolódóan történeti és módszertani tanácsadással, szakirodalmi tartalomszolgáltatással segítettük többek között a Soproni Egyete</w:t>
      </w:r>
      <w:r w:rsidR="00C43C6F">
        <w:t>m Benedek Elek Pedagógiai Karát. I</w:t>
      </w:r>
      <w:r w:rsidR="00A20B53">
        <w:t>tt a középiskolások részére szervezett Brunszvik Teréz</w:t>
      </w:r>
      <w:r w:rsidR="00C43C6F">
        <w:t xml:space="preserve">t bemutató kisfilmes alkotások </w:t>
      </w:r>
      <w:r w:rsidR="00A20B53">
        <w:t xml:space="preserve">versenyén a zsűri elnöki tisztjét Miklós Gergely látta el, emellett részt vettünk a kidolgozásában egy múzeumpedagógiai foglalkozásnak, mely </w:t>
      </w:r>
      <w:r w:rsidR="00C43C6F">
        <w:t>az egyetem arborétumában</w:t>
      </w:r>
      <w:r w:rsidR="00A20B53">
        <w:t xml:space="preserve"> iskolások részére mutatja be Brunszvik Teréz </w:t>
      </w:r>
      <w:r w:rsidR="00C43C6F">
        <w:t xml:space="preserve">személyiségét, </w:t>
      </w:r>
      <w:r w:rsidR="00A20B53">
        <w:t xml:space="preserve">kapcsolatát a növényekkel és a természettel. </w:t>
      </w:r>
      <w:r>
        <w:t xml:space="preserve"> </w:t>
      </w:r>
      <w:r w:rsidR="00A20B53">
        <w:t xml:space="preserve">Szintén segítettük </w:t>
      </w:r>
      <w:r>
        <w:t>a Tokaj-Hegyaljai Egyetemet, a Magyar N</w:t>
      </w:r>
      <w:r w:rsidR="00A33FCC">
        <w:t>ői Uniót</w:t>
      </w:r>
      <w:r w:rsidR="00C43C6F">
        <w:t xml:space="preserve"> a Brunszvik Terézt bemutató filmük forgatása során</w:t>
      </w:r>
      <w:r w:rsidR="00A33FCC">
        <w:t>, a Külgazdasági és Külügyminisztérium Kulturális és Tudománydiplomáciai Főosztályát.</w:t>
      </w:r>
      <w:r w:rsidR="00A20B53">
        <w:t xml:space="preserve"> Ez utóbbi esetében részt vettünk a Brunszvik Teréz emléke előtt tisztelgő </w:t>
      </w:r>
      <w:r w:rsidR="00A20B53" w:rsidRPr="00C43C6F">
        <w:rPr>
          <w:i/>
        </w:rPr>
        <w:t>Játékra született</w:t>
      </w:r>
      <w:r w:rsidR="00A20B53">
        <w:t xml:space="preserve"> című interaktív vándorkiállítás létrehozásában</w:t>
      </w:r>
      <w:r w:rsidR="00CC1B80">
        <w:t xml:space="preserve">, mely elsőként </w:t>
      </w:r>
      <w:r w:rsidR="00C43C6F">
        <w:t>a párizsi UNESCO székházban került bemutatásra november 24-tő</w:t>
      </w:r>
      <w:r w:rsidR="00CC1B80">
        <w:t xml:space="preserve">l, majd az Európa Tanács </w:t>
      </w:r>
      <w:proofErr w:type="spellStart"/>
      <w:r w:rsidR="00CC1B80">
        <w:t>strasburgi</w:t>
      </w:r>
      <w:proofErr w:type="spellEnd"/>
      <w:r w:rsidR="00CC1B80">
        <w:t xml:space="preserve"> központjában volt látható. </w:t>
      </w:r>
      <w:r w:rsidR="00A33FCC">
        <w:t xml:space="preserve">A </w:t>
      </w:r>
      <w:r w:rsidR="00FC0EFD">
        <w:t>Magyar Nemzeti Bank ál</w:t>
      </w:r>
      <w:r w:rsidR="003B33CE">
        <w:t>tal 2025-ben kibocsátott Brunszvik Teréz-emlék</w:t>
      </w:r>
      <w:r w:rsidR="00046A15">
        <w:t>érme</w:t>
      </w:r>
      <w:r w:rsidR="00FC0EFD">
        <w:t xml:space="preserve"> valamint a </w:t>
      </w:r>
      <w:r w:rsidR="00FC0EFD">
        <w:lastRenderedPageBreak/>
        <w:t>Mag</w:t>
      </w:r>
      <w:r w:rsidR="003B33CE">
        <w:t>yar Posta által kiadott</w:t>
      </w:r>
      <w:r w:rsidR="00C43C6F">
        <w:t xml:space="preserve"> Brunszvik Teréz bélyeg</w:t>
      </w:r>
      <w:r w:rsidR="0023304E">
        <w:t xml:space="preserve"> tervezési munkájában a kibocsátó szervezetek felkérésére </w:t>
      </w:r>
      <w:r w:rsidR="00FC0EFD">
        <w:t>történeti</w:t>
      </w:r>
      <w:r w:rsidR="0023304E">
        <w:t xml:space="preserve"> szakmai szakértőként Miklós Gergely muzeológus vett részt.</w:t>
      </w:r>
      <w:r w:rsidR="00C43C6F">
        <w:t xml:space="preserve"> Ennek köszönhetően az emlék</w:t>
      </w:r>
      <w:r w:rsidR="00046A15">
        <w:t>érme</w:t>
      </w:r>
      <w:r w:rsidR="00626628">
        <w:t xml:space="preserve"> és a bélyeg közös kibocsátási ünnepségére</w:t>
      </w:r>
      <w:r w:rsidR="00AA1BB0">
        <w:t xml:space="preserve"> Martonvásáron a Brunszvik-</w:t>
      </w:r>
      <w:r w:rsidR="00C43C6F">
        <w:t>kastély télikertjében került sor július</w:t>
      </w:r>
      <w:r w:rsidR="00626628">
        <w:t xml:space="preserve"> 27-én.</w:t>
      </w:r>
    </w:p>
    <w:p w:rsidR="001D5FC2" w:rsidRDefault="00B84419" w:rsidP="00B84419">
      <w:pPr>
        <w:spacing w:line="252" w:lineRule="auto"/>
        <w:ind w:firstLine="540"/>
        <w:jc w:val="both"/>
      </w:pPr>
      <w:r>
        <w:t>Az</w:t>
      </w:r>
      <w:r w:rsidR="00C43C6F">
        <w:t xml:space="preserve"> </w:t>
      </w:r>
      <w:r>
        <w:t xml:space="preserve">Óvodamúzeum Brunszvik – Teleki– de Gérando emlékszobájában július 26-án a Brunszvik Teréz emlékév </w:t>
      </w:r>
      <w:r w:rsidR="006A4C86">
        <w:t>egyik fő martonvásári eseményeként nyílt meg a Pletser Tamás által rendezett kiállítás, melyen a gyűjtő biedermei</w:t>
      </w:r>
      <w:r w:rsidR="00FA0E66">
        <w:t>er hangulatú közegben tárta a látogatók elé</w:t>
      </w:r>
      <w:r w:rsidR="006A4C86">
        <w:t xml:space="preserve"> saját</w:t>
      </w:r>
      <w:r w:rsidR="00FA0E66">
        <w:t xml:space="preserve"> tulajdonú</w:t>
      </w:r>
      <w:r w:rsidR="006A4C86">
        <w:t xml:space="preserve"> </w:t>
      </w:r>
      <w:r w:rsidR="00856EBE">
        <w:t>Fra</w:t>
      </w:r>
      <w:r w:rsidR="00FA0E66">
        <w:t>n</w:t>
      </w:r>
      <w:r w:rsidR="00856EBE">
        <w:t xml:space="preserve">z </w:t>
      </w:r>
      <w:proofErr w:type="spellStart"/>
      <w:r w:rsidR="00856EBE">
        <w:t>Schrotzberg</w:t>
      </w:r>
      <w:proofErr w:type="spellEnd"/>
      <w:r w:rsidR="00856EBE">
        <w:t xml:space="preserve"> festette képét, mely Brunszvik Terézt fi</w:t>
      </w:r>
      <w:r w:rsidR="0023549D">
        <w:t xml:space="preserve">atalon ábrázolja. </w:t>
      </w:r>
      <w:r w:rsidR="009843F0">
        <w:t>A</w:t>
      </w:r>
      <w:r w:rsidR="0023549D">
        <w:t xml:space="preserve"> kurátor hangsúlyt fektetett Brunszvik Terézék </w:t>
      </w:r>
      <w:proofErr w:type="spellStart"/>
      <w:r w:rsidR="0023549D">
        <w:t>édesanyjának</w:t>
      </w:r>
      <w:proofErr w:type="spellEnd"/>
      <w:r w:rsidR="00FA0E66">
        <w:t>,</w:t>
      </w:r>
      <w:r w:rsidR="009843F0">
        <w:t xml:space="preserve"> a lányok személyiségfejlődésére erősen ható</w:t>
      </w:r>
      <w:r w:rsidR="0023549D">
        <w:t xml:space="preserve"> báró </w:t>
      </w:r>
      <w:proofErr w:type="spellStart"/>
      <w:r w:rsidR="0023549D">
        <w:t>Seeberg</w:t>
      </w:r>
      <w:proofErr w:type="spellEnd"/>
      <w:r w:rsidR="0023549D">
        <w:t xml:space="preserve"> Annának </w:t>
      </w:r>
      <w:r w:rsidR="009843F0">
        <w:t>és csa</w:t>
      </w:r>
      <w:r w:rsidR="00FA0E66">
        <w:t xml:space="preserve">ládjának hiánypótló bemutatására </w:t>
      </w:r>
      <w:r w:rsidR="009843F0">
        <w:t>is</w:t>
      </w:r>
      <w:r w:rsidR="0023549D">
        <w:t>.</w:t>
      </w:r>
      <w:r w:rsidR="009843F0">
        <w:t xml:space="preserve"> </w:t>
      </w:r>
      <w:r w:rsidR="0023549D">
        <w:t>A kiállításhoz sikerült kölcsönözni a szarvasi Gál Fere</w:t>
      </w:r>
      <w:r w:rsidR="00FA0E66">
        <w:t>nc Egyetem Pedagógiai Karát</w:t>
      </w:r>
      <w:r w:rsidR="0023549D">
        <w:t>ól az egykori budapesti gróf Brunszvik Teréz Kisdedóvónőképző Intézetből odakerült Brunszvik Teréznek emléket állító alkotásokat: a Barabás Miklós festette időskori portrét</w:t>
      </w:r>
      <w:r w:rsidR="00856EBE">
        <w:t xml:space="preserve"> </w:t>
      </w:r>
      <w:r w:rsidR="0023549D">
        <w:t>és az Aradi Zsigmond készítette fehérmárvány mellszobrot.</w:t>
      </w:r>
      <w:r w:rsidR="00C574E1">
        <w:t xml:space="preserve"> A nagy értékű műtárgyak biztonságos elhelyezése érdekében a múzeum épületének műemléki szárnyában biztonsági kamerarendszer került kiépítésre</w:t>
      </w:r>
      <w:r w:rsidR="00A97669">
        <w:t xml:space="preserve"> 238 e Ft értékben.</w:t>
      </w:r>
      <w:r w:rsidR="00C574E1">
        <w:t xml:space="preserve"> </w:t>
      </w:r>
      <w:r w:rsidR="006A4C86">
        <w:t xml:space="preserve"> </w:t>
      </w:r>
    </w:p>
    <w:p w:rsidR="00A33FCC" w:rsidRPr="00FC0EFD" w:rsidRDefault="0023549D" w:rsidP="0023304E">
      <w:pPr>
        <w:spacing w:line="252" w:lineRule="auto"/>
        <w:ind w:firstLine="540"/>
        <w:jc w:val="both"/>
      </w:pPr>
      <w:r>
        <w:t>Ezt kiegészítve, ezzel egy időb</w:t>
      </w:r>
      <w:r w:rsidR="009843F0">
        <w:t>en nyí</w:t>
      </w:r>
      <w:r>
        <w:t xml:space="preserve">lt meg </w:t>
      </w:r>
      <w:r w:rsidR="00C574E1">
        <w:t>Pletser Cecí</w:t>
      </w:r>
      <w:r w:rsidR="001D5FC2">
        <w:t>lia és Miklós Gergely munkája</w:t>
      </w:r>
      <w:r>
        <w:t>ként</w:t>
      </w:r>
      <w:r w:rsidR="001D5FC2">
        <w:t xml:space="preserve"> az a </w:t>
      </w:r>
      <w:r w:rsidR="001D5FC2" w:rsidRPr="001D5FC2">
        <w:rPr>
          <w:i/>
        </w:rPr>
        <w:t>Brunszvik Teréz 250</w:t>
      </w:r>
      <w:r w:rsidR="001D5FC2">
        <w:t xml:space="preserve"> kiállítás, </w:t>
      </w:r>
      <w:r w:rsidR="00B84419">
        <w:t>melynek egyik változata a Brunszvik-Dreher sétányon a kastélypark kerítésén egy tíz egységből álló molinó</w:t>
      </w:r>
      <w:r>
        <w:t>-</w:t>
      </w:r>
      <w:r w:rsidR="00B84419">
        <w:t xml:space="preserve">kiállítás, másik változata </w:t>
      </w:r>
      <w:proofErr w:type="spellStart"/>
      <w:r w:rsidR="00B84419">
        <w:t>rol</w:t>
      </w:r>
      <w:r w:rsidR="00A97669">
        <w:t>lup</w:t>
      </w:r>
      <w:proofErr w:type="spellEnd"/>
      <w:r w:rsidR="00A97669">
        <w:t xml:space="preserve"> kiállításként az Ó</w:t>
      </w:r>
      <w:r w:rsidR="00B84419">
        <w:t xml:space="preserve">vodamúzeumban látható július </w:t>
      </w:r>
      <w:r w:rsidR="00A97669">
        <w:t>26-tól. Ez utóbbi december folyamán két hétig</w:t>
      </w:r>
      <w:r w:rsidR="00C574E1">
        <w:t xml:space="preserve"> Kápolnásnyéken</w:t>
      </w:r>
      <w:r w:rsidR="00B84419">
        <w:t xml:space="preserve"> a Halász Gedeon Eseményközpontban vendégeskedett. </w:t>
      </w:r>
      <w:r w:rsidR="001D5FC2">
        <w:t xml:space="preserve"> </w:t>
      </w:r>
    </w:p>
    <w:p w:rsidR="00001B83" w:rsidRDefault="00927959" w:rsidP="0023304E">
      <w:pPr>
        <w:ind w:firstLine="540"/>
        <w:jc w:val="both"/>
      </w:pPr>
      <w:r>
        <w:t xml:space="preserve"> </w:t>
      </w:r>
      <w:r w:rsidR="00001B83">
        <w:t>A múzeumi tevékenységen kívül a munkatársak aktívan részt vettek a Könyvtár munkájában, a Közművelődési Csoport által szervezett egyes rendezvények lebonyolításában. Mindezek mellett kiemelt figyelmet fordítottunk a város és a helyi intézmények vendégeinek fogadására, az emlékszobában zajló önkormányzati megbeszélések</w:t>
      </w:r>
      <w:r w:rsidR="00B10AD2">
        <w:t>, fogadások</w:t>
      </w:r>
      <w:r w:rsidR="00001B83">
        <w:t xml:space="preserve"> színvonalas lebonyolítására. </w:t>
      </w:r>
    </w:p>
    <w:p w:rsidR="00001B83" w:rsidRDefault="00001B83" w:rsidP="00001B83">
      <w:pPr>
        <w:ind w:firstLine="540"/>
        <w:jc w:val="both"/>
      </w:pPr>
      <w:r>
        <w:t xml:space="preserve">Az EFOP-4.9-16 számú, „A tudás bölcsője a Martonvásári Óvodatörténeti </w:t>
      </w:r>
      <w:proofErr w:type="gramStart"/>
      <w:r>
        <w:t>Gyűjtemény”</w:t>
      </w:r>
      <w:r>
        <w:rPr>
          <w:b/>
        </w:rPr>
        <w:t xml:space="preserve"> </w:t>
      </w:r>
      <w:r>
        <w:t xml:space="preserve"> című</w:t>
      </w:r>
      <w:proofErr w:type="gramEnd"/>
      <w:r>
        <w:t xml:space="preserve"> pályázat keretében kialakított múzeumpedagógiai oktatóterem</w:t>
      </w:r>
      <w:r w:rsidR="00687F8F">
        <w:t xml:space="preserve"> fenntartá</w:t>
      </w:r>
      <w:r w:rsidR="00A97669">
        <w:t>si időszakának negyedik</w:t>
      </w:r>
      <w:r w:rsidR="00B525AE">
        <w:t xml:space="preserve"> éve 2025</w:t>
      </w:r>
      <w:r w:rsidR="00A97669">
        <w:t>. július 30-á</w:t>
      </w:r>
      <w:r>
        <w:t>val lezárult, a pályázati követelményeket sikeresen teljesítettük. A pályázat öt éves fenntartási időszaka folyamán a vállalt paraméterek elérése és dokumentálása a múzeum munkatársainak feladata.</w:t>
      </w:r>
    </w:p>
    <w:p w:rsidR="00001B83" w:rsidRDefault="00001B83" w:rsidP="00001B83">
      <w:pPr>
        <w:ind w:firstLine="540"/>
        <w:jc w:val="both"/>
      </w:pPr>
      <w:r>
        <w:t>Ugyancsak a múzeum munkatársának feladata a Martonvásári Települési Értéktár gondozása, adminisztrációs és koordinációs feladataina</w:t>
      </w:r>
      <w:r w:rsidR="00FA0E66">
        <w:t>k ellátása. Aktívan részt vett</w:t>
      </w:r>
      <w:r>
        <w:t xml:space="preserve"> település múltjának feltárásában, emlékeinek felk</w:t>
      </w:r>
      <w:r w:rsidR="00E325CA">
        <w:t>utatásában és megismertetésében, így például a</w:t>
      </w:r>
      <w:r w:rsidR="00FA0E66">
        <w:t xml:space="preserve"> Brunszvik Teréz évforduló kapcsán a martonvásári temetőnél a Nemzeti Örökség Intézete révén állított „okos” p</w:t>
      </w:r>
      <w:r w:rsidR="00E325CA">
        <w:t>arcellakő segítségével</w:t>
      </w:r>
      <w:r w:rsidR="00FA0E66">
        <w:t xml:space="preserve">, a Martonvásáron eltemetett jeles személyekről megjelenített információk </w:t>
      </w:r>
      <w:r w:rsidR="00E325CA">
        <w:t>össz</w:t>
      </w:r>
      <w:r w:rsidR="00C574E1">
        <w:t>e</w:t>
      </w:r>
      <w:r w:rsidR="00E325CA">
        <w:t>gyűjtésébe</w:t>
      </w:r>
      <w:r w:rsidR="00C574E1">
        <w:t>n</w:t>
      </w:r>
      <w:r w:rsidR="00E325CA">
        <w:t>,</w:t>
      </w:r>
      <w:r w:rsidR="00C574E1">
        <w:t xml:space="preserve"> </w:t>
      </w:r>
      <w:r w:rsidR="00FA0E66">
        <w:t xml:space="preserve">kidolgozásában.  </w:t>
      </w:r>
      <w:r w:rsidR="00130942">
        <w:t xml:space="preserve"> </w:t>
      </w:r>
      <w:r>
        <w:t xml:space="preserve">  </w:t>
      </w:r>
    </w:p>
    <w:p w:rsidR="00001B83" w:rsidRDefault="00001B83" w:rsidP="00001B83">
      <w:pPr>
        <w:rPr>
          <w:b/>
        </w:rPr>
      </w:pPr>
    </w:p>
    <w:p w:rsidR="00001B83" w:rsidRDefault="00001B83" w:rsidP="00001B83">
      <w:pPr>
        <w:rPr>
          <w:b/>
        </w:rPr>
      </w:pPr>
      <w:r>
        <w:rPr>
          <w:b/>
        </w:rPr>
        <w:t>Turisztikai tevékenység, település imázs építése</w:t>
      </w:r>
    </w:p>
    <w:p w:rsidR="00001B83" w:rsidRDefault="00001B83" w:rsidP="00001B83">
      <w:pPr>
        <w:ind w:firstLine="540"/>
        <w:jc w:val="center"/>
        <w:rPr>
          <w:b/>
        </w:rPr>
      </w:pPr>
    </w:p>
    <w:p w:rsidR="00001B83" w:rsidRDefault="00001B83" w:rsidP="00001B83">
      <w:pPr>
        <w:jc w:val="both"/>
      </w:pPr>
      <w:r>
        <w:t>A múzeumban 2007 és 2012 között működött a Fejér Megyei Tourinform Iroda turisztikai információs pontja franchise konstrukció keretében. Az új múzeumépület 2014. évi megnyitásával az előtérben került kialakításra az Információs Pont, ahol Martonvásár és térsége idegenforgalmi lehetőségei felől érdeklődhetnek az idelátogatók. A múzeum munkatársai ennek keretében végzik a Városi Könyvtár lakossági irodai szolgáltatásának (fénymásolás, nyomtatás, internet használat) biztosításában is. Az Információs Pontnak a múzeumhoz kapcsolódó kialakításának koncepcióját iga</w:t>
      </w:r>
      <w:r w:rsidR="00687F8F">
        <w:t>zolja, hogy a tavalyi évben 2306</w:t>
      </w:r>
      <w:r>
        <w:t xml:space="preserve"> esetben keresték meg valamilyen kérdéssel vagy kéréssel személyesen, telefonon, illetve e-mailben. Működésével erősíti az Önkormányzat szerepét a település és a térség turisztikai életében, ez </w:t>
      </w:r>
      <w:r>
        <w:lastRenderedPageBreak/>
        <w:t>azért is fontos, mert a városunkba irányuló jelentős idegenforgalommal az önkormányzat elsősorban a fenntartásában lévő múzeumon keresztül kerül kapcsolatba. A színvonalas információnyújtási tevékenység az idelátogatókban Martonvásárról pozitív képet alakított ki, az egyéb szolgáltatások pedig az itt élők komfortérzetét növelte. Elsősorban Martonvásár közúti és közösségi közlekedéssel történő elérhetőségéről, menetrendekről, étkezési lehetőségekről, további környékbeli turisztikai célpontokról, a martonvásári látnivalók nyitva tartásáról, látogatási díjairól, kedvezményekről érdeklődnek az Információ Ponthoz forduló turisták. Szoros n</w:t>
      </w:r>
      <w:r w:rsidR="00687F8F">
        <w:t>api kapcsolatban állva a HUN-REN</w:t>
      </w:r>
      <w:r>
        <w:t xml:space="preserve"> ATK turizmussal kapcsolatba kerülő munkatársaival, igény esetén megszerveztük az idelátogatók programját, kérésre biztosítottuk a</w:t>
      </w:r>
      <w:r w:rsidR="00B10AD2">
        <w:t xml:space="preserve"> Dreher és a</w:t>
      </w:r>
      <w:r>
        <w:t xml:space="preserve"> Brunszvik mauzóleum látogathatóságát is. Ez utóbbi, országos szintű történelmi emlékhelyet igyekszünk bekapcsolni a város </w:t>
      </w:r>
      <w:r w:rsidR="004E35D1">
        <w:t>turisztikai vérkeringésébe. 2025</w:t>
      </w:r>
      <w:r w:rsidR="00687F8F">
        <w:t>-b</w:t>
      </w:r>
      <w:r w:rsidR="004E35D1">
        <w:t>en 9 alkalommal, mintegy 280</w:t>
      </w:r>
      <w:r>
        <w:t xml:space="preserve"> főnek szerveztük meg a vezetéssel egybekötött látogatását, lehetőséget adva ezzel a Brunszvik Teréz előtti méltó tisztelgésnek.</w:t>
      </w:r>
    </w:p>
    <w:p w:rsidR="00001B83" w:rsidRDefault="00001B83" w:rsidP="00001B83">
      <w:pPr>
        <w:ind w:firstLine="540"/>
        <w:jc w:val="both"/>
      </w:pPr>
      <w:r>
        <w:t xml:space="preserve">Az év során több turisztikai, illetve művelődéstörténeti témájú újságcikk jelent meg különböző </w:t>
      </w:r>
      <w:r w:rsidR="00687F8F">
        <w:t>l</w:t>
      </w:r>
      <w:r w:rsidR="00B525AE">
        <w:t>apokban az Óvodamúzeumról. Elsősorban a Brunszvik Teréz évforduló témájával nyolc rádiós és hat</w:t>
      </w:r>
      <w:r>
        <w:t xml:space="preserve"> televíziós idegenforgalmi és kulturális műsorban, valamint a korábbi évek műsorainak számtalan ismétlésével szerepelt a múzeum, részben önállóan, részben Martonvásár más látnivalóival közösen.</w:t>
      </w:r>
    </w:p>
    <w:p w:rsidR="00001B83" w:rsidRDefault="00001B83" w:rsidP="00001B83">
      <w:pPr>
        <w:ind w:firstLine="540"/>
        <w:jc w:val="both"/>
      </w:pPr>
    </w:p>
    <w:p w:rsidR="00001B83" w:rsidRDefault="00001B83" w:rsidP="00001B83">
      <w:pPr>
        <w:jc w:val="both"/>
      </w:pPr>
    </w:p>
    <w:p w:rsidR="00001B83" w:rsidRDefault="00B525AE" w:rsidP="00001B83">
      <w:pPr>
        <w:jc w:val="both"/>
      </w:pPr>
      <w:r>
        <w:t>Martonvásár, 2026. január</w:t>
      </w:r>
      <w:r w:rsidR="00001B83">
        <w:t xml:space="preserve"> </w:t>
      </w:r>
      <w:r>
        <w:t>1</w:t>
      </w:r>
      <w:r w:rsidR="00001B83">
        <w:t>6.                                               Miklós Gergely</w:t>
      </w:r>
    </w:p>
    <w:p w:rsidR="00001B83" w:rsidRDefault="00001B83" w:rsidP="00001B83">
      <w:pPr>
        <w:jc w:val="both"/>
      </w:pPr>
      <w:r>
        <w:t xml:space="preserve">                                                                                                    muzeológus</w:t>
      </w:r>
    </w:p>
    <w:p w:rsidR="00001B83" w:rsidRDefault="00001B83" w:rsidP="00001B83"/>
    <w:p w:rsidR="00001B83" w:rsidRDefault="00001B83" w:rsidP="00001B83"/>
    <w:p w:rsidR="003563D8" w:rsidRDefault="003563D8"/>
    <w:sectPr w:rsidR="003563D8" w:rsidSect="00E9108F">
      <w:footerReference w:type="default" r:id="rId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551" w:rsidRDefault="00E70551" w:rsidP="002067E4">
      <w:r>
        <w:separator/>
      </w:r>
    </w:p>
  </w:endnote>
  <w:endnote w:type="continuationSeparator" w:id="0">
    <w:p w:rsidR="00E70551" w:rsidRDefault="00E70551" w:rsidP="0020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5865344"/>
      <w:docPartObj>
        <w:docPartGallery w:val="Page Numbers (Bottom of Page)"/>
        <w:docPartUnique/>
      </w:docPartObj>
    </w:sdtPr>
    <w:sdtEndPr/>
    <w:sdtContent>
      <w:p w:rsidR="002067E4" w:rsidRDefault="002067E4">
        <w:pPr>
          <w:pStyle w:val="llb"/>
          <w:jc w:val="center"/>
        </w:pPr>
        <w:r>
          <w:fldChar w:fldCharType="begin"/>
        </w:r>
        <w:r>
          <w:instrText>PAGE   \* MERGEFORMAT</w:instrText>
        </w:r>
        <w:r>
          <w:fldChar w:fldCharType="separate"/>
        </w:r>
        <w:r w:rsidR="00046A15">
          <w:rPr>
            <w:noProof/>
          </w:rPr>
          <w:t>5</w:t>
        </w:r>
        <w:r>
          <w:fldChar w:fldCharType="end"/>
        </w:r>
      </w:p>
    </w:sdtContent>
  </w:sdt>
  <w:p w:rsidR="002067E4" w:rsidRDefault="002067E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551" w:rsidRDefault="00E70551" w:rsidP="002067E4">
      <w:r>
        <w:separator/>
      </w:r>
    </w:p>
  </w:footnote>
  <w:footnote w:type="continuationSeparator" w:id="0">
    <w:p w:rsidR="00E70551" w:rsidRDefault="00E70551" w:rsidP="00206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83"/>
    <w:rsid w:val="00001B83"/>
    <w:rsid w:val="0002170A"/>
    <w:rsid w:val="00046A15"/>
    <w:rsid w:val="000E0382"/>
    <w:rsid w:val="00130942"/>
    <w:rsid w:val="001B47AF"/>
    <w:rsid w:val="001C4FCD"/>
    <w:rsid w:val="001D5FC2"/>
    <w:rsid w:val="002067E4"/>
    <w:rsid w:val="0023304E"/>
    <w:rsid w:val="0023549D"/>
    <w:rsid w:val="00265755"/>
    <w:rsid w:val="00310246"/>
    <w:rsid w:val="0034575E"/>
    <w:rsid w:val="00351AA9"/>
    <w:rsid w:val="003563D8"/>
    <w:rsid w:val="003B33CE"/>
    <w:rsid w:val="004A77DD"/>
    <w:rsid w:val="004E35D1"/>
    <w:rsid w:val="004E3962"/>
    <w:rsid w:val="00626628"/>
    <w:rsid w:val="00631534"/>
    <w:rsid w:val="00674149"/>
    <w:rsid w:val="00687F8F"/>
    <w:rsid w:val="006A4C86"/>
    <w:rsid w:val="006B76B0"/>
    <w:rsid w:val="00793BA9"/>
    <w:rsid w:val="007D6897"/>
    <w:rsid w:val="007E46A1"/>
    <w:rsid w:val="00834A5B"/>
    <w:rsid w:val="00856EBE"/>
    <w:rsid w:val="008A24A5"/>
    <w:rsid w:val="008B254B"/>
    <w:rsid w:val="008D2C8E"/>
    <w:rsid w:val="00927959"/>
    <w:rsid w:val="00974925"/>
    <w:rsid w:val="009843F0"/>
    <w:rsid w:val="009C10FC"/>
    <w:rsid w:val="00A20B53"/>
    <w:rsid w:val="00A33FCC"/>
    <w:rsid w:val="00A50AAF"/>
    <w:rsid w:val="00A66B18"/>
    <w:rsid w:val="00A706A4"/>
    <w:rsid w:val="00A97669"/>
    <w:rsid w:val="00AA1BB0"/>
    <w:rsid w:val="00B10AD2"/>
    <w:rsid w:val="00B525AE"/>
    <w:rsid w:val="00B84419"/>
    <w:rsid w:val="00B9106F"/>
    <w:rsid w:val="00B9648C"/>
    <w:rsid w:val="00BA3DF8"/>
    <w:rsid w:val="00C43C6F"/>
    <w:rsid w:val="00C574E1"/>
    <w:rsid w:val="00CC1B80"/>
    <w:rsid w:val="00E325CA"/>
    <w:rsid w:val="00E70551"/>
    <w:rsid w:val="00E9108F"/>
    <w:rsid w:val="00EB0D67"/>
    <w:rsid w:val="00FA0E66"/>
    <w:rsid w:val="00FC0E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26D42D-E5E7-407A-B703-1609D39D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hu-HU"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001B83"/>
    <w:pPr>
      <w:spacing w:after="0"/>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310246"/>
    <w:pPr>
      <w:keepNext/>
      <w:keepLines/>
      <w:spacing w:before="480" w:line="276" w:lineRule="auto"/>
      <w:outlineLvl w:val="0"/>
    </w:pPr>
    <w:rPr>
      <w:rFonts w:asciiTheme="majorHAnsi" w:eastAsiaTheme="majorEastAsia" w:hAnsiTheme="majorHAnsi" w:cstheme="majorBidi"/>
      <w:b/>
      <w:bCs/>
      <w:color w:val="65281B" w:themeColor="accent1" w:themeShade="BF"/>
      <w:szCs w:val="28"/>
      <w:lang w:eastAsia="en-US"/>
    </w:rPr>
  </w:style>
  <w:style w:type="paragraph" w:styleId="Cmsor2">
    <w:name w:val="heading 2"/>
    <w:basedOn w:val="Norml"/>
    <w:next w:val="Norml"/>
    <w:link w:val="Cmsor2Char"/>
    <w:uiPriority w:val="9"/>
    <w:unhideWhenUsed/>
    <w:qFormat/>
    <w:rsid w:val="00310246"/>
    <w:pPr>
      <w:keepNext/>
      <w:keepLines/>
      <w:spacing w:before="200" w:line="276" w:lineRule="auto"/>
      <w:outlineLvl w:val="1"/>
    </w:pPr>
    <w:rPr>
      <w:rFonts w:asciiTheme="majorHAnsi" w:eastAsiaTheme="majorEastAsia" w:hAnsiTheme="majorHAnsi" w:cstheme="majorBidi"/>
      <w:b/>
      <w:bCs/>
      <w:color w:val="873624" w:themeColor="accent1"/>
      <w:sz w:val="26"/>
      <w:szCs w:val="26"/>
      <w:lang w:eastAsia="en-US"/>
    </w:rPr>
  </w:style>
  <w:style w:type="paragraph" w:styleId="Cmsor3">
    <w:name w:val="heading 3"/>
    <w:basedOn w:val="Norml"/>
    <w:next w:val="Norml"/>
    <w:link w:val="Cmsor3Char"/>
    <w:uiPriority w:val="9"/>
    <w:unhideWhenUsed/>
    <w:qFormat/>
    <w:rsid w:val="00310246"/>
    <w:pPr>
      <w:keepNext/>
      <w:keepLines/>
      <w:spacing w:before="200" w:line="276" w:lineRule="auto"/>
      <w:outlineLvl w:val="2"/>
    </w:pPr>
    <w:rPr>
      <w:rFonts w:asciiTheme="majorHAnsi" w:eastAsiaTheme="majorEastAsia" w:hAnsiTheme="majorHAnsi" w:cstheme="majorBidi"/>
      <w:b/>
      <w:bCs/>
      <w:color w:val="873624" w:themeColor="accent1"/>
      <w:sz w:val="22"/>
      <w:szCs w:val="22"/>
      <w:lang w:eastAsia="en-US"/>
    </w:rPr>
  </w:style>
  <w:style w:type="paragraph" w:styleId="Cmsor4">
    <w:name w:val="heading 4"/>
    <w:basedOn w:val="Norml"/>
    <w:next w:val="Norml"/>
    <w:link w:val="Cmsor4Char"/>
    <w:uiPriority w:val="9"/>
    <w:semiHidden/>
    <w:unhideWhenUsed/>
    <w:qFormat/>
    <w:rsid w:val="00310246"/>
    <w:pPr>
      <w:keepNext/>
      <w:keepLines/>
      <w:spacing w:before="200" w:line="276" w:lineRule="auto"/>
      <w:ind w:left="864" w:hanging="864"/>
      <w:outlineLvl w:val="3"/>
    </w:pPr>
    <w:rPr>
      <w:rFonts w:asciiTheme="majorHAnsi" w:eastAsiaTheme="majorEastAsia" w:hAnsiTheme="majorHAnsi" w:cstheme="majorBidi"/>
      <w:bCs/>
      <w:i/>
      <w:iCs/>
      <w:color w:val="442E0E" w:themeColor="text2" w:themeShade="80"/>
      <w:szCs w:val="22"/>
      <w:u w:val="single"/>
      <w:lang w:eastAsia="en-US"/>
    </w:rPr>
  </w:style>
  <w:style w:type="paragraph" w:styleId="Cmsor5">
    <w:name w:val="heading 5"/>
    <w:basedOn w:val="Norml"/>
    <w:next w:val="Norml"/>
    <w:link w:val="Cmsor5Char"/>
    <w:uiPriority w:val="9"/>
    <w:semiHidden/>
    <w:unhideWhenUsed/>
    <w:qFormat/>
    <w:rsid w:val="00310246"/>
    <w:pPr>
      <w:keepNext/>
      <w:keepLines/>
      <w:spacing w:before="200" w:line="276" w:lineRule="auto"/>
      <w:ind w:left="1008" w:hanging="1008"/>
      <w:outlineLvl w:val="4"/>
    </w:pPr>
    <w:rPr>
      <w:rFonts w:asciiTheme="majorHAnsi" w:eastAsiaTheme="majorEastAsia" w:hAnsiTheme="majorHAnsi" w:cstheme="majorBidi"/>
      <w:color w:val="431A12" w:themeColor="accent1" w:themeShade="7F"/>
      <w:szCs w:val="22"/>
      <w:lang w:eastAsia="en-US"/>
    </w:rPr>
  </w:style>
  <w:style w:type="paragraph" w:styleId="Cmsor6">
    <w:name w:val="heading 6"/>
    <w:basedOn w:val="Norml"/>
    <w:next w:val="Norml"/>
    <w:link w:val="Cmsor6Char"/>
    <w:uiPriority w:val="9"/>
    <w:semiHidden/>
    <w:unhideWhenUsed/>
    <w:qFormat/>
    <w:rsid w:val="00310246"/>
    <w:pPr>
      <w:keepNext/>
      <w:keepLines/>
      <w:spacing w:before="200" w:line="276" w:lineRule="auto"/>
      <w:ind w:left="1152" w:hanging="1152"/>
      <w:outlineLvl w:val="5"/>
    </w:pPr>
    <w:rPr>
      <w:rFonts w:asciiTheme="majorHAnsi" w:eastAsiaTheme="majorEastAsia" w:hAnsiTheme="majorHAnsi" w:cstheme="majorBidi"/>
      <w:i/>
      <w:iCs/>
      <w:color w:val="431A12" w:themeColor="accent1" w:themeShade="7F"/>
      <w:szCs w:val="22"/>
      <w:lang w:eastAsia="en-US"/>
    </w:rPr>
  </w:style>
  <w:style w:type="paragraph" w:styleId="Cmsor7">
    <w:name w:val="heading 7"/>
    <w:basedOn w:val="Norml"/>
    <w:next w:val="Norml"/>
    <w:link w:val="Cmsor7Char"/>
    <w:uiPriority w:val="9"/>
    <w:semiHidden/>
    <w:unhideWhenUsed/>
    <w:qFormat/>
    <w:rsid w:val="00310246"/>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Cs w:val="22"/>
      <w:lang w:eastAsia="en-US"/>
    </w:rPr>
  </w:style>
  <w:style w:type="paragraph" w:styleId="Cmsor8">
    <w:name w:val="heading 8"/>
    <w:basedOn w:val="Norml"/>
    <w:next w:val="Norml"/>
    <w:link w:val="Cmsor8Char"/>
    <w:uiPriority w:val="9"/>
    <w:semiHidden/>
    <w:unhideWhenUsed/>
    <w:qFormat/>
    <w:rsid w:val="00310246"/>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Cmsor9">
    <w:name w:val="heading 9"/>
    <w:basedOn w:val="Norml"/>
    <w:next w:val="Norml"/>
    <w:link w:val="Cmsor9Char"/>
    <w:uiPriority w:val="9"/>
    <w:semiHidden/>
    <w:unhideWhenUsed/>
    <w:qFormat/>
    <w:rsid w:val="00310246"/>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10246"/>
    <w:rPr>
      <w:rFonts w:asciiTheme="majorHAnsi" w:eastAsiaTheme="majorEastAsia" w:hAnsiTheme="majorHAnsi" w:cstheme="majorBidi"/>
      <w:b/>
      <w:bCs/>
      <w:color w:val="65281B" w:themeColor="accent1" w:themeShade="BF"/>
      <w:sz w:val="24"/>
      <w:szCs w:val="28"/>
    </w:rPr>
  </w:style>
  <w:style w:type="character" w:customStyle="1" w:styleId="Cmsor2Char">
    <w:name w:val="Címsor 2 Char"/>
    <w:basedOn w:val="Bekezdsalapbettpusa"/>
    <w:link w:val="Cmsor2"/>
    <w:uiPriority w:val="9"/>
    <w:rsid w:val="00310246"/>
    <w:rPr>
      <w:rFonts w:asciiTheme="majorHAnsi" w:eastAsiaTheme="majorEastAsia" w:hAnsiTheme="majorHAnsi" w:cstheme="majorBidi"/>
      <w:b/>
      <w:bCs/>
      <w:color w:val="873624" w:themeColor="accent1"/>
      <w:sz w:val="26"/>
      <w:szCs w:val="26"/>
    </w:rPr>
  </w:style>
  <w:style w:type="character" w:customStyle="1" w:styleId="Cmsor3Char">
    <w:name w:val="Címsor 3 Char"/>
    <w:basedOn w:val="Bekezdsalapbettpusa"/>
    <w:link w:val="Cmsor3"/>
    <w:uiPriority w:val="9"/>
    <w:rsid w:val="00310246"/>
    <w:rPr>
      <w:rFonts w:asciiTheme="majorHAnsi" w:eastAsiaTheme="majorEastAsia" w:hAnsiTheme="majorHAnsi" w:cstheme="majorBidi"/>
      <w:b/>
      <w:bCs/>
      <w:color w:val="873624" w:themeColor="accent1"/>
    </w:rPr>
  </w:style>
  <w:style w:type="paragraph" w:styleId="TJ1">
    <w:name w:val="toc 1"/>
    <w:basedOn w:val="Norml"/>
    <w:next w:val="Norml"/>
    <w:autoRedefine/>
    <w:uiPriority w:val="39"/>
    <w:unhideWhenUsed/>
    <w:qFormat/>
    <w:rsid w:val="00310246"/>
    <w:pPr>
      <w:tabs>
        <w:tab w:val="left" w:pos="660"/>
        <w:tab w:val="right" w:leader="dot" w:pos="9062"/>
      </w:tabs>
      <w:spacing w:after="100" w:line="360" w:lineRule="auto"/>
    </w:pPr>
    <w:rPr>
      <w:rFonts w:eastAsiaTheme="minorEastAsia"/>
      <w:noProof/>
      <w:szCs w:val="22"/>
    </w:rPr>
  </w:style>
  <w:style w:type="paragraph" w:styleId="TJ2">
    <w:name w:val="toc 2"/>
    <w:basedOn w:val="Norml"/>
    <w:next w:val="Norml"/>
    <w:autoRedefine/>
    <w:uiPriority w:val="39"/>
    <w:unhideWhenUsed/>
    <w:qFormat/>
    <w:rsid w:val="00310246"/>
    <w:pPr>
      <w:spacing w:after="100" w:line="276" w:lineRule="auto"/>
      <w:ind w:left="220"/>
    </w:pPr>
    <w:rPr>
      <w:rFonts w:eastAsiaTheme="minorEastAsia" w:cstheme="minorBidi"/>
      <w:szCs w:val="22"/>
    </w:rPr>
  </w:style>
  <w:style w:type="paragraph" w:styleId="TJ3">
    <w:name w:val="toc 3"/>
    <w:basedOn w:val="Norml"/>
    <w:next w:val="Norml"/>
    <w:autoRedefine/>
    <w:uiPriority w:val="39"/>
    <w:unhideWhenUsed/>
    <w:qFormat/>
    <w:rsid w:val="00310246"/>
    <w:pPr>
      <w:spacing w:after="100" w:line="276" w:lineRule="auto"/>
      <w:ind w:left="440"/>
    </w:pPr>
    <w:rPr>
      <w:rFonts w:eastAsiaTheme="minorEastAsia" w:cstheme="minorBidi"/>
      <w:szCs w:val="22"/>
    </w:rPr>
  </w:style>
  <w:style w:type="paragraph" w:styleId="Alcm">
    <w:name w:val="Subtitle"/>
    <w:basedOn w:val="Norml"/>
    <w:next w:val="Norml"/>
    <w:link w:val="AlcmChar"/>
    <w:uiPriority w:val="11"/>
    <w:qFormat/>
    <w:rsid w:val="00310246"/>
    <w:pPr>
      <w:numPr>
        <w:ilvl w:val="1"/>
      </w:numPr>
      <w:spacing w:after="200" w:line="276" w:lineRule="auto"/>
    </w:pPr>
    <w:rPr>
      <w:rFonts w:asciiTheme="majorHAnsi" w:eastAsiaTheme="majorEastAsia" w:hAnsiTheme="majorHAnsi" w:cstheme="majorBidi"/>
      <w:i/>
      <w:iCs/>
      <w:color w:val="873624" w:themeColor="accent1"/>
      <w:spacing w:val="15"/>
      <w:lang w:eastAsia="en-US"/>
    </w:rPr>
  </w:style>
  <w:style w:type="character" w:customStyle="1" w:styleId="AlcmChar">
    <w:name w:val="Alcím Char"/>
    <w:basedOn w:val="Bekezdsalapbettpusa"/>
    <w:link w:val="Alcm"/>
    <w:uiPriority w:val="11"/>
    <w:rsid w:val="00310246"/>
    <w:rPr>
      <w:rFonts w:asciiTheme="majorHAnsi" w:eastAsiaTheme="majorEastAsia" w:hAnsiTheme="majorHAnsi" w:cstheme="majorBidi"/>
      <w:i/>
      <w:iCs/>
      <w:color w:val="873624" w:themeColor="accent1"/>
      <w:spacing w:val="15"/>
      <w:sz w:val="24"/>
      <w:szCs w:val="24"/>
    </w:rPr>
  </w:style>
  <w:style w:type="paragraph" w:styleId="Listaszerbekezds">
    <w:name w:val="List Paragraph"/>
    <w:basedOn w:val="Norml"/>
    <w:uiPriority w:val="34"/>
    <w:qFormat/>
    <w:rsid w:val="00310246"/>
    <w:pPr>
      <w:spacing w:after="200" w:line="276" w:lineRule="auto"/>
      <w:ind w:left="720"/>
      <w:contextualSpacing/>
    </w:pPr>
    <w:rPr>
      <w:rFonts w:eastAsia="Calibri" w:cstheme="minorBidi"/>
      <w:szCs w:val="22"/>
      <w:lang w:eastAsia="en-US"/>
    </w:rPr>
  </w:style>
  <w:style w:type="paragraph" w:styleId="Tartalomjegyzkcmsora">
    <w:name w:val="TOC Heading"/>
    <w:basedOn w:val="Cmsor1"/>
    <w:next w:val="Norml"/>
    <w:uiPriority w:val="39"/>
    <w:semiHidden/>
    <w:unhideWhenUsed/>
    <w:qFormat/>
    <w:rsid w:val="00310246"/>
    <w:pPr>
      <w:outlineLvl w:val="9"/>
    </w:pPr>
    <w:rPr>
      <w:lang w:eastAsia="hu-HU"/>
    </w:rPr>
  </w:style>
  <w:style w:type="character" w:customStyle="1" w:styleId="Cmsor4Char">
    <w:name w:val="Címsor 4 Char"/>
    <w:basedOn w:val="Bekezdsalapbettpusa"/>
    <w:link w:val="Cmsor4"/>
    <w:uiPriority w:val="9"/>
    <w:semiHidden/>
    <w:rsid w:val="00310246"/>
    <w:rPr>
      <w:rFonts w:asciiTheme="majorHAnsi" w:eastAsiaTheme="majorEastAsia" w:hAnsiTheme="majorHAnsi" w:cstheme="majorBidi"/>
      <w:bCs/>
      <w:i/>
      <w:iCs/>
      <w:color w:val="442E0E" w:themeColor="text2" w:themeShade="80"/>
      <w:sz w:val="24"/>
      <w:u w:val="single"/>
    </w:rPr>
  </w:style>
  <w:style w:type="character" w:customStyle="1" w:styleId="Cmsor5Char">
    <w:name w:val="Címsor 5 Char"/>
    <w:basedOn w:val="Bekezdsalapbettpusa"/>
    <w:link w:val="Cmsor5"/>
    <w:uiPriority w:val="9"/>
    <w:semiHidden/>
    <w:rsid w:val="00310246"/>
    <w:rPr>
      <w:rFonts w:asciiTheme="majorHAnsi" w:eastAsiaTheme="majorEastAsia" w:hAnsiTheme="majorHAnsi" w:cstheme="majorBidi"/>
      <w:color w:val="431A12" w:themeColor="accent1" w:themeShade="7F"/>
      <w:sz w:val="24"/>
    </w:rPr>
  </w:style>
  <w:style w:type="character" w:customStyle="1" w:styleId="Cmsor6Char">
    <w:name w:val="Címsor 6 Char"/>
    <w:basedOn w:val="Bekezdsalapbettpusa"/>
    <w:link w:val="Cmsor6"/>
    <w:uiPriority w:val="9"/>
    <w:semiHidden/>
    <w:rsid w:val="00310246"/>
    <w:rPr>
      <w:rFonts w:asciiTheme="majorHAnsi" w:eastAsiaTheme="majorEastAsia" w:hAnsiTheme="majorHAnsi" w:cstheme="majorBidi"/>
      <w:i/>
      <w:iCs/>
      <w:color w:val="431A12" w:themeColor="accent1" w:themeShade="7F"/>
      <w:sz w:val="24"/>
    </w:rPr>
  </w:style>
  <w:style w:type="character" w:customStyle="1" w:styleId="Cmsor7Char">
    <w:name w:val="Címsor 7 Char"/>
    <w:basedOn w:val="Bekezdsalapbettpusa"/>
    <w:link w:val="Cmsor7"/>
    <w:uiPriority w:val="9"/>
    <w:semiHidden/>
    <w:rsid w:val="00310246"/>
    <w:rPr>
      <w:rFonts w:asciiTheme="majorHAnsi" w:eastAsiaTheme="majorEastAsia" w:hAnsiTheme="majorHAnsi" w:cstheme="majorBidi"/>
      <w:i/>
      <w:iCs/>
      <w:color w:val="404040" w:themeColor="text1" w:themeTint="BF"/>
      <w:sz w:val="24"/>
    </w:rPr>
  </w:style>
  <w:style w:type="character" w:customStyle="1" w:styleId="Cmsor8Char">
    <w:name w:val="Címsor 8 Char"/>
    <w:basedOn w:val="Bekezdsalapbettpusa"/>
    <w:link w:val="Cmsor8"/>
    <w:uiPriority w:val="9"/>
    <w:semiHidden/>
    <w:rsid w:val="00310246"/>
    <w:rPr>
      <w:rFonts w:asciiTheme="majorHAnsi" w:eastAsiaTheme="majorEastAsia" w:hAnsiTheme="majorHAnsi" w:cstheme="majorBidi"/>
      <w:color w:val="404040" w:themeColor="text1" w:themeTint="BF"/>
      <w:sz w:val="20"/>
      <w:szCs w:val="20"/>
    </w:rPr>
  </w:style>
  <w:style w:type="character" w:customStyle="1" w:styleId="Cmsor9Char">
    <w:name w:val="Címsor 9 Char"/>
    <w:basedOn w:val="Bekezdsalapbettpusa"/>
    <w:link w:val="Cmsor9"/>
    <w:uiPriority w:val="9"/>
    <w:semiHidden/>
    <w:rsid w:val="00310246"/>
    <w:rPr>
      <w:rFonts w:asciiTheme="majorHAnsi" w:eastAsiaTheme="majorEastAsia" w:hAnsiTheme="majorHAnsi" w:cstheme="majorBidi"/>
      <w:i/>
      <w:iCs/>
      <w:color w:val="404040" w:themeColor="text1" w:themeTint="BF"/>
      <w:sz w:val="20"/>
      <w:szCs w:val="20"/>
    </w:rPr>
  </w:style>
  <w:style w:type="paragraph" w:styleId="Buborkszveg">
    <w:name w:val="Balloon Text"/>
    <w:basedOn w:val="Norml"/>
    <w:link w:val="BuborkszvegChar"/>
    <w:uiPriority w:val="99"/>
    <w:semiHidden/>
    <w:unhideWhenUsed/>
    <w:rsid w:val="004A77DD"/>
    <w:rPr>
      <w:rFonts w:ascii="Tahoma" w:hAnsi="Tahoma" w:cs="Tahoma"/>
      <w:sz w:val="16"/>
      <w:szCs w:val="16"/>
    </w:rPr>
  </w:style>
  <w:style w:type="character" w:customStyle="1" w:styleId="BuborkszvegChar">
    <w:name w:val="Buborékszöveg Char"/>
    <w:basedOn w:val="Bekezdsalapbettpusa"/>
    <w:link w:val="Buborkszveg"/>
    <w:uiPriority w:val="99"/>
    <w:semiHidden/>
    <w:rsid w:val="004A77DD"/>
    <w:rPr>
      <w:rFonts w:ascii="Tahoma" w:eastAsia="Times New Roman" w:hAnsi="Tahoma" w:cs="Tahoma"/>
      <w:sz w:val="16"/>
      <w:szCs w:val="16"/>
      <w:lang w:eastAsia="hu-HU"/>
    </w:rPr>
  </w:style>
  <w:style w:type="paragraph" w:styleId="lfej">
    <w:name w:val="header"/>
    <w:basedOn w:val="Norml"/>
    <w:link w:val="lfejChar"/>
    <w:uiPriority w:val="99"/>
    <w:unhideWhenUsed/>
    <w:rsid w:val="002067E4"/>
    <w:pPr>
      <w:tabs>
        <w:tab w:val="center" w:pos="4536"/>
        <w:tab w:val="right" w:pos="9072"/>
      </w:tabs>
    </w:pPr>
  </w:style>
  <w:style w:type="character" w:customStyle="1" w:styleId="lfejChar">
    <w:name w:val="Élőfej Char"/>
    <w:basedOn w:val="Bekezdsalapbettpusa"/>
    <w:link w:val="lfej"/>
    <w:uiPriority w:val="99"/>
    <w:rsid w:val="002067E4"/>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2067E4"/>
    <w:pPr>
      <w:tabs>
        <w:tab w:val="center" w:pos="4536"/>
        <w:tab w:val="right" w:pos="9072"/>
      </w:tabs>
    </w:pPr>
  </w:style>
  <w:style w:type="character" w:customStyle="1" w:styleId="llbChar">
    <w:name w:val="Élőláb Char"/>
    <w:basedOn w:val="Bekezdsalapbettpusa"/>
    <w:link w:val="llb"/>
    <w:uiPriority w:val="99"/>
    <w:rsid w:val="002067E4"/>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945261">
      <w:bodyDiv w:val="1"/>
      <w:marLeft w:val="0"/>
      <w:marRight w:val="0"/>
      <w:marTop w:val="0"/>
      <w:marBottom w:val="0"/>
      <w:divBdr>
        <w:top w:val="none" w:sz="0" w:space="0" w:color="auto"/>
        <w:left w:val="none" w:sz="0" w:space="0" w:color="auto"/>
        <w:bottom w:val="none" w:sz="0" w:space="0" w:color="auto"/>
        <w:right w:val="none" w:sz="0" w:space="0" w:color="auto"/>
      </w:divBdr>
    </w:div>
    <w:div w:id="191242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Kemény kötés">
      <a:dk1>
        <a:sysClr val="windowText" lastClr="000000"/>
      </a:dk1>
      <a:lt1>
        <a:sysClr val="window" lastClr="FFFFFF"/>
      </a:lt1>
      <a:dk2>
        <a:srgbClr val="895D1D"/>
      </a:dk2>
      <a:lt2>
        <a:srgbClr val="ECE9C6"/>
      </a:lt2>
      <a:accent1>
        <a:srgbClr val="873624"/>
      </a:accent1>
      <a:accent2>
        <a:srgbClr val="D6862D"/>
      </a:accent2>
      <a:accent3>
        <a:srgbClr val="D0BE40"/>
      </a:accent3>
      <a:accent4>
        <a:srgbClr val="877F6C"/>
      </a:accent4>
      <a:accent5>
        <a:srgbClr val="972109"/>
      </a:accent5>
      <a:accent6>
        <a:srgbClr val="AEB795"/>
      </a:accent6>
      <a:hlink>
        <a:srgbClr val="CC9900"/>
      </a:hlink>
      <a:folHlink>
        <a:srgbClr val="B2B2B2"/>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1908</Words>
  <Characters>13170</Characters>
  <Application>Microsoft Office Word</Application>
  <DocSecurity>4</DocSecurity>
  <Lines>109</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OM1</dc:creator>
  <cp:lastModifiedBy>SzSKatalinE</cp:lastModifiedBy>
  <cp:revision>2</cp:revision>
  <cp:lastPrinted>2026-02-04T13:45:00Z</cp:lastPrinted>
  <dcterms:created xsi:type="dcterms:W3CDTF">2026-02-12T06:39:00Z</dcterms:created>
  <dcterms:modified xsi:type="dcterms:W3CDTF">2026-02-12T06:39:00Z</dcterms:modified>
</cp:coreProperties>
</file>