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4ED0" w14:textId="3926B92D" w:rsidR="004D7397" w:rsidRDefault="00B4034F" w:rsidP="00B4034F">
      <w:pPr>
        <w:tabs>
          <w:tab w:val="left" w:pos="3420"/>
        </w:tabs>
        <w:spacing w:before="48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</w:p>
    <w:p w14:paraId="7BBD8B48" w14:textId="31953F78" w:rsidR="00E373F6" w:rsidRDefault="00E373F6" w:rsidP="00E373F6">
      <w:pPr>
        <w:tabs>
          <w:tab w:val="left" w:pos="3571"/>
        </w:tabs>
        <w:spacing w:before="48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</w:p>
    <w:p w14:paraId="70B84DC3" w14:textId="77777777" w:rsidR="004D7397" w:rsidRDefault="004D7397" w:rsidP="004D7397">
      <w:pPr>
        <w:spacing w:before="48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050B8EC" w14:textId="77777777" w:rsidR="00CD644D" w:rsidRDefault="00CD644D" w:rsidP="004D7397">
      <w:pPr>
        <w:spacing w:before="48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3D2FA4B" w14:textId="77777777" w:rsidR="00CD644D" w:rsidRDefault="00CD644D" w:rsidP="004D7397">
      <w:pPr>
        <w:spacing w:before="48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125A11D" w14:textId="77777777" w:rsidR="00FC4A9F" w:rsidRDefault="00FC4A9F" w:rsidP="004D7397">
      <w:pPr>
        <w:spacing w:before="48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A0583B0" w14:textId="7E8803A2" w:rsidR="004D7397" w:rsidRDefault="00B9562E" w:rsidP="00CD64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ÉRD</w:t>
      </w:r>
      <w:r w:rsidR="004D7397" w:rsidRPr="004D7397">
        <w:rPr>
          <w:rFonts w:ascii="Times New Roman" w:hAnsi="Times New Roman"/>
          <w:b/>
          <w:sz w:val="28"/>
          <w:szCs w:val="28"/>
        </w:rPr>
        <w:t xml:space="preserve"> HIVATÁSOS TŰZOLTÓPARANCSNOKSÁG</w:t>
      </w:r>
      <w:r w:rsidR="00796EA3">
        <w:rPr>
          <w:rFonts w:ascii="Times New Roman" w:hAnsi="Times New Roman"/>
          <w:b/>
          <w:sz w:val="28"/>
          <w:szCs w:val="28"/>
        </w:rPr>
        <w:t xml:space="preserve"> BESZÁMOLÓJA</w:t>
      </w:r>
    </w:p>
    <w:p w14:paraId="3099B787" w14:textId="16706091" w:rsidR="004D7397" w:rsidRDefault="003A6BBE" w:rsidP="00CD64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6485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ÉVES </w:t>
      </w:r>
      <w:r w:rsidR="00796EA3">
        <w:rPr>
          <w:rFonts w:ascii="Times New Roman" w:hAnsi="Times New Roman"/>
          <w:b/>
          <w:sz w:val="28"/>
          <w:szCs w:val="28"/>
        </w:rPr>
        <w:t xml:space="preserve">TŰZVÉDELMI </w:t>
      </w:r>
      <w:r>
        <w:rPr>
          <w:rFonts w:ascii="Times New Roman" w:hAnsi="Times New Roman"/>
          <w:b/>
          <w:sz w:val="28"/>
          <w:szCs w:val="28"/>
        </w:rPr>
        <w:t>TEVÉKENYSÉGÉRŐL</w:t>
      </w:r>
    </w:p>
    <w:p w14:paraId="335A1496" w14:textId="77F79BE1" w:rsidR="00B4034F" w:rsidRPr="004D7397" w:rsidRDefault="00B4034F" w:rsidP="00B403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TELEPÜLÉSI ÖNKORMÁNYZATOK RÉSZÉRE</w:t>
      </w:r>
    </w:p>
    <w:p w14:paraId="4E78AD5C" w14:textId="77777777" w:rsidR="00E373F6" w:rsidRDefault="00E373F6" w:rsidP="00FC4A9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11E149D" w14:textId="77777777" w:rsidR="00E373F6" w:rsidRDefault="00E373F6" w:rsidP="00CD64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4EFF54" w14:textId="77777777" w:rsidR="00E373F6" w:rsidRPr="004D7397" w:rsidRDefault="00E373F6" w:rsidP="00CD64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62C6B" w14:textId="77777777" w:rsidR="0091393B" w:rsidRPr="00CA4526" w:rsidRDefault="0091393B" w:rsidP="0091393B">
      <w:pPr>
        <w:spacing w:before="3000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  <w:r w:rsidRPr="00CA4526">
        <w:rPr>
          <w:rFonts w:ascii="Times New Roman" w:hAnsi="Times New Roman"/>
          <w:b/>
          <w:sz w:val="24"/>
          <w:szCs w:val="24"/>
        </w:rPr>
        <w:t>Előterjesztő:</w:t>
      </w:r>
    </w:p>
    <w:p w14:paraId="06E2C577" w14:textId="6242B96D" w:rsidR="0091393B" w:rsidRPr="00CA4526" w:rsidRDefault="00864852" w:rsidP="0091393B">
      <w:pPr>
        <w:spacing w:before="360" w:after="0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Rácz Krisztián</w:t>
      </w:r>
      <w:r w:rsidR="004B68C4">
        <w:rPr>
          <w:rFonts w:ascii="Times New Roman" w:hAnsi="Times New Roman"/>
          <w:b/>
          <w:sz w:val="24"/>
          <w:szCs w:val="24"/>
        </w:rPr>
        <w:t xml:space="preserve"> </w:t>
      </w:r>
      <w:r w:rsidR="0091393B" w:rsidRPr="00CA4526">
        <w:rPr>
          <w:rFonts w:ascii="Times New Roman" w:hAnsi="Times New Roman"/>
          <w:b/>
          <w:sz w:val="24"/>
          <w:szCs w:val="24"/>
        </w:rPr>
        <w:t xml:space="preserve">tű. </w:t>
      </w:r>
      <w:r>
        <w:rPr>
          <w:rFonts w:ascii="Times New Roman" w:hAnsi="Times New Roman"/>
          <w:b/>
          <w:sz w:val="24"/>
          <w:szCs w:val="24"/>
        </w:rPr>
        <w:t>alezredes</w:t>
      </w:r>
    </w:p>
    <w:p w14:paraId="44BE095F" w14:textId="77C3D723" w:rsidR="0091393B" w:rsidRPr="00CA4526" w:rsidRDefault="0091393B" w:rsidP="001E0898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A4526">
        <w:rPr>
          <w:rFonts w:ascii="Times New Roman" w:hAnsi="Times New Roman"/>
          <w:sz w:val="24"/>
          <w:szCs w:val="24"/>
        </w:rPr>
        <w:t>tűzoltóparancsnok</w:t>
      </w:r>
    </w:p>
    <w:p w14:paraId="3F536B5F" w14:textId="635DC4C4" w:rsidR="00CD644D" w:rsidRDefault="00CD644D" w:rsidP="00E37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0190324"/>
      <w:r>
        <w:rPr>
          <w:b/>
        </w:rPr>
        <w:br w:type="page"/>
      </w:r>
      <w:r w:rsidR="00E373F6" w:rsidRPr="00E373F6">
        <w:rPr>
          <w:rFonts w:ascii="Times New Roman" w:hAnsi="Times New Roman"/>
          <w:b/>
          <w:sz w:val="28"/>
          <w:szCs w:val="28"/>
        </w:rPr>
        <w:lastRenderedPageBreak/>
        <w:t>Tartalomjegyzék</w:t>
      </w:r>
    </w:p>
    <w:p w14:paraId="02B86701" w14:textId="77777777" w:rsidR="00E373F6" w:rsidRDefault="00E373F6" w:rsidP="00E373F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0D5E5E" w14:textId="77777777" w:rsidR="00E373F6" w:rsidRDefault="00E373F6" w:rsidP="00E373F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25F0F3" w14:textId="77777777" w:rsidR="00E373F6" w:rsidRDefault="00E373F6" w:rsidP="00E373F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GoBack"/>
      <w:bookmarkEnd w:id="1"/>
    </w:p>
    <w:p w14:paraId="3B7C9FF8" w14:textId="77777777" w:rsidR="00E373F6" w:rsidRPr="00E373F6" w:rsidRDefault="00E373F6" w:rsidP="00E373F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D29F0E" w14:textId="77777777" w:rsidR="00FC4A9F" w:rsidRDefault="00E373F6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 w:rsidRPr="000F5F8E">
        <w:fldChar w:fldCharType="begin"/>
      </w:r>
      <w:r w:rsidRPr="000F5F8E">
        <w:instrText xml:space="preserve"> TOC \o "1-1" \h \z \u </w:instrText>
      </w:r>
      <w:r w:rsidRPr="000F5F8E">
        <w:fldChar w:fldCharType="separate"/>
      </w:r>
      <w:hyperlink w:anchor="_Toc194919344" w:history="1">
        <w:r w:rsidR="00FC4A9F" w:rsidRPr="0079239C">
          <w:rPr>
            <w:rStyle w:val="Hiperhivatkozs"/>
            <w:b/>
          </w:rPr>
          <w:t xml:space="preserve">I. </w:t>
        </w:r>
        <w:r w:rsidR="00FC4A9F" w:rsidRPr="0079239C">
          <w:rPr>
            <w:rStyle w:val="Hiperhivatkozs"/>
            <w:b/>
            <w:bCs/>
          </w:rPr>
          <w:t>A BESZÁMOLÁSI ÉV LEGFONTOSABB CÉLKITŰZÉSEI, FELADATAI</w:t>
        </w:r>
        <w:r w:rsidR="00FC4A9F">
          <w:rPr>
            <w:webHidden/>
          </w:rPr>
          <w:tab/>
        </w:r>
        <w:r w:rsidR="00FC4A9F">
          <w:rPr>
            <w:webHidden/>
          </w:rPr>
          <w:fldChar w:fldCharType="begin"/>
        </w:r>
        <w:r w:rsidR="00FC4A9F">
          <w:rPr>
            <w:webHidden/>
          </w:rPr>
          <w:instrText xml:space="preserve"> PAGEREF _Toc194919344 \h </w:instrText>
        </w:r>
        <w:r w:rsidR="00FC4A9F">
          <w:rPr>
            <w:webHidden/>
          </w:rPr>
        </w:r>
        <w:r w:rsidR="00FC4A9F">
          <w:rPr>
            <w:webHidden/>
          </w:rPr>
          <w:fldChar w:fldCharType="separate"/>
        </w:r>
        <w:r w:rsidR="00FC4A9F">
          <w:rPr>
            <w:webHidden/>
          </w:rPr>
          <w:t>2</w:t>
        </w:r>
        <w:r w:rsidR="00FC4A9F">
          <w:rPr>
            <w:webHidden/>
          </w:rPr>
          <w:fldChar w:fldCharType="end"/>
        </w:r>
      </w:hyperlink>
    </w:p>
    <w:p w14:paraId="402CA97D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45" w:history="1">
        <w:r w:rsidRPr="0079239C">
          <w:rPr>
            <w:rStyle w:val="Hiperhivatkozs"/>
            <w:b/>
          </w:rPr>
          <w:t>II. AZ ELVÉGZETT FELADATOK, MEGTETT INTÉZKEDÉSEK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6EEC3E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46" w:history="1">
        <w:r w:rsidRPr="0079239C">
          <w:rPr>
            <w:rStyle w:val="Hiperhivatkozs"/>
            <w:b/>
          </w:rPr>
          <w:t>Tűzoltás, műszaki mentési tevékenység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69B31C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47" w:history="1">
        <w:r w:rsidRPr="0079239C">
          <w:rPr>
            <w:rStyle w:val="Hiperhivatkozs"/>
            <w:b/>
          </w:rPr>
          <w:t>Szakmai felügyeleti tevékenység, ellenőrzések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08EF91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48" w:history="1">
        <w:r w:rsidRPr="0079239C">
          <w:rPr>
            <w:rStyle w:val="Hiperhivatkozs"/>
            <w:b/>
          </w:rPr>
          <w:t>Polgári védelmi feladatok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DB88EF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49" w:history="1">
        <w:r w:rsidRPr="0079239C">
          <w:rPr>
            <w:rStyle w:val="Hiperhivatkozs"/>
            <w:b/>
          </w:rPr>
          <w:t>Hatósági tevékenység, tűzvédelem, megelőzés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E210B04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0" w:history="1">
        <w:r w:rsidRPr="0079239C">
          <w:rPr>
            <w:rStyle w:val="Hiperhivatkozs"/>
            <w:b/>
          </w:rPr>
          <w:t>Ügyeleti, híradó, informatikai tevékenység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4B0A29F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1" w:history="1">
        <w:r w:rsidRPr="0079239C">
          <w:rPr>
            <w:rStyle w:val="Hiperhivatkozs"/>
            <w:b/>
          </w:rPr>
          <w:t>Társszervekkel való együttműködés tapasztalatai, értékelése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5B8581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2" w:history="1">
        <w:r w:rsidRPr="0079239C">
          <w:rPr>
            <w:rStyle w:val="Hiperhivatkozs"/>
            <w:b/>
          </w:rPr>
          <w:t>Az állomány képzése, képzettsége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D1D743D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3" w:history="1">
        <w:r w:rsidRPr="0079239C">
          <w:rPr>
            <w:rStyle w:val="Hiperhivatkozs"/>
            <w:b/>
          </w:rPr>
          <w:t>A HTP működésének tárgyi feltételei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E0121D9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4" w:history="1">
        <w:r w:rsidRPr="0079239C">
          <w:rPr>
            <w:rStyle w:val="Hiperhivatkozs"/>
            <w:b/>
          </w:rPr>
          <w:t>Sporttevékenység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C7C6BEE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5" w:history="1">
        <w:r w:rsidRPr="0079239C">
          <w:rPr>
            <w:rStyle w:val="Hiperhivatkozs"/>
            <w:b/>
            <w:bCs/>
          </w:rPr>
          <w:t>Összegzés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C456B17" w14:textId="77777777" w:rsidR="00FC4A9F" w:rsidRDefault="00FC4A9F">
      <w:pPr>
        <w:pStyle w:val="TJ1"/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hyperlink w:anchor="_Toc194919356" w:history="1">
        <w:r w:rsidRPr="0079239C">
          <w:rPr>
            <w:rStyle w:val="Hiperhivatkozs"/>
            <w:b/>
            <w:bCs/>
          </w:rPr>
          <w:t>III. 2025. ÉV FELADATAI, CÉLKITŰZÉSEI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_Toc194919356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D2124BB" w14:textId="017CB967" w:rsidR="00E373F6" w:rsidRDefault="00E373F6" w:rsidP="00E373F6">
      <w:pPr>
        <w:spacing w:after="0" w:line="240" w:lineRule="auto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0F5F8E">
        <w:rPr>
          <w:rFonts w:ascii="Times New Roman" w:hAnsi="Times New Roman"/>
          <w:noProof/>
          <w:sz w:val="24"/>
          <w:szCs w:val="24"/>
        </w:rPr>
        <w:fldChar w:fldCharType="end"/>
      </w:r>
    </w:p>
    <w:p w14:paraId="2CE3924F" w14:textId="77777777" w:rsidR="00E373F6" w:rsidRDefault="00E373F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br w:type="page"/>
      </w:r>
    </w:p>
    <w:p w14:paraId="429B3A09" w14:textId="1C1D2BEE" w:rsidR="00D12EC4" w:rsidRPr="00D12EC4" w:rsidRDefault="00916597" w:rsidP="002174A4">
      <w:pPr>
        <w:pStyle w:val="Cmsor1"/>
        <w:spacing w:before="240" w:after="240"/>
        <w:jc w:val="both"/>
        <w:rPr>
          <w:b/>
          <w:bCs/>
        </w:rPr>
      </w:pPr>
      <w:bookmarkStart w:id="2" w:name="_Toc194919344"/>
      <w:r w:rsidRPr="007925AA">
        <w:rPr>
          <w:b/>
        </w:rPr>
        <w:lastRenderedPageBreak/>
        <w:t xml:space="preserve">I. </w:t>
      </w:r>
      <w:bookmarkStart w:id="3" w:name="_Toc535572337"/>
      <w:bookmarkEnd w:id="0"/>
      <w:r w:rsidR="00D12EC4" w:rsidRPr="00D12EC4">
        <w:rPr>
          <w:b/>
          <w:bCs/>
        </w:rPr>
        <w:t>A BESZÁMOLÁSI ÉV LEGFONTOSABB CÉLKITŰZÉSEI, FELADATAI</w:t>
      </w:r>
      <w:bookmarkEnd w:id="3"/>
      <w:bookmarkEnd w:id="2"/>
    </w:p>
    <w:p w14:paraId="40054C55" w14:textId="57790269" w:rsidR="00916597" w:rsidRPr="007925AA" w:rsidRDefault="0082669E" w:rsidP="00FE475F">
      <w:pPr>
        <w:suppressAutoHyphens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26B2D" w:rsidRPr="00426B2D">
        <w:rPr>
          <w:rFonts w:ascii="Times New Roman" w:hAnsi="Times New Roman"/>
          <w:sz w:val="24"/>
          <w:szCs w:val="24"/>
        </w:rPr>
        <w:t xml:space="preserve"> katasztrófavédelem hatéko</w:t>
      </w:r>
      <w:r w:rsidR="00684C58">
        <w:rPr>
          <w:rFonts w:ascii="Times New Roman" w:hAnsi="Times New Roman"/>
          <w:sz w:val="24"/>
          <w:szCs w:val="24"/>
        </w:rPr>
        <w:t>nyságának növelése érdekében a</w:t>
      </w:r>
      <w:r w:rsidR="00426B2D">
        <w:rPr>
          <w:rFonts w:ascii="Times New Roman" w:hAnsi="Times New Roman"/>
          <w:sz w:val="24"/>
          <w:szCs w:val="24"/>
        </w:rPr>
        <w:t xml:space="preserve">z </w:t>
      </w:r>
      <w:r w:rsidR="003D62BB">
        <w:rPr>
          <w:rFonts w:ascii="Times New Roman" w:hAnsi="Times New Roman"/>
          <w:sz w:val="24"/>
          <w:szCs w:val="24"/>
        </w:rPr>
        <w:t>Érd</w:t>
      </w:r>
      <w:r w:rsidR="00B9562E">
        <w:rPr>
          <w:rFonts w:ascii="Times New Roman" w:hAnsi="Times New Roman"/>
          <w:sz w:val="24"/>
          <w:szCs w:val="24"/>
        </w:rPr>
        <w:t xml:space="preserve"> Hivatásos Tűzoltó</w:t>
      </w:r>
      <w:r w:rsidR="00684C58">
        <w:rPr>
          <w:rFonts w:ascii="Times New Roman" w:hAnsi="Times New Roman"/>
          <w:sz w:val="24"/>
          <w:szCs w:val="24"/>
        </w:rPr>
        <w:t>-</w:t>
      </w:r>
      <w:r w:rsidR="00916597" w:rsidRPr="007925AA">
        <w:rPr>
          <w:rFonts w:ascii="Times New Roman" w:hAnsi="Times New Roman"/>
          <w:sz w:val="24"/>
          <w:szCs w:val="24"/>
        </w:rPr>
        <w:t>parancsnokság (</w:t>
      </w:r>
      <w:r w:rsidR="00916597">
        <w:rPr>
          <w:rFonts w:ascii="Times New Roman" w:hAnsi="Times New Roman"/>
          <w:sz w:val="24"/>
          <w:szCs w:val="24"/>
        </w:rPr>
        <w:t xml:space="preserve">a </w:t>
      </w:r>
      <w:r w:rsidR="00916597" w:rsidRPr="007925AA">
        <w:rPr>
          <w:rFonts w:ascii="Times New Roman" w:hAnsi="Times New Roman"/>
          <w:sz w:val="24"/>
          <w:szCs w:val="24"/>
        </w:rPr>
        <w:t xml:space="preserve">továbbiakban: </w:t>
      </w:r>
      <w:r w:rsidR="003D62BB">
        <w:rPr>
          <w:rFonts w:ascii="Times New Roman" w:hAnsi="Times New Roman"/>
          <w:sz w:val="24"/>
          <w:szCs w:val="24"/>
        </w:rPr>
        <w:t>Érd</w:t>
      </w:r>
      <w:r w:rsidR="00916597" w:rsidRPr="007925AA">
        <w:rPr>
          <w:rFonts w:ascii="Times New Roman" w:hAnsi="Times New Roman"/>
          <w:sz w:val="24"/>
          <w:szCs w:val="24"/>
        </w:rPr>
        <w:t xml:space="preserve"> HTP) a tevékenységét az értékelt időszakban a szervezetet érintő jogszabályok, a BM Országos Katasztrófavédelmi Főigazgatóság (</w:t>
      </w:r>
      <w:r w:rsidR="00916597">
        <w:rPr>
          <w:rFonts w:ascii="Times New Roman" w:hAnsi="Times New Roman"/>
          <w:sz w:val="24"/>
          <w:szCs w:val="24"/>
        </w:rPr>
        <w:t xml:space="preserve">a </w:t>
      </w:r>
      <w:r w:rsidR="00916597" w:rsidRPr="007925AA">
        <w:rPr>
          <w:rFonts w:ascii="Times New Roman" w:hAnsi="Times New Roman"/>
          <w:sz w:val="24"/>
          <w:szCs w:val="24"/>
        </w:rPr>
        <w:t xml:space="preserve">továbbiakban: BM OKF) és a Pest </w:t>
      </w:r>
      <w:r w:rsidR="00CB2C02">
        <w:rPr>
          <w:rFonts w:ascii="Times New Roman" w:hAnsi="Times New Roman"/>
          <w:sz w:val="24"/>
          <w:szCs w:val="24"/>
        </w:rPr>
        <w:t>Vármegye</w:t>
      </w:r>
      <w:r w:rsidR="00916597" w:rsidRPr="007925AA">
        <w:rPr>
          <w:rFonts w:ascii="Times New Roman" w:hAnsi="Times New Roman"/>
          <w:sz w:val="24"/>
          <w:szCs w:val="24"/>
        </w:rPr>
        <w:t xml:space="preserve">i Katasztrófavédelmi Igazgatóság (a továbbiakban: Pest </w:t>
      </w:r>
      <w:r w:rsidR="00CB2C02">
        <w:rPr>
          <w:rFonts w:ascii="Times New Roman" w:hAnsi="Times New Roman"/>
          <w:sz w:val="24"/>
          <w:szCs w:val="24"/>
        </w:rPr>
        <w:t>VMKI</w:t>
      </w:r>
      <w:r w:rsidR="00916597" w:rsidRPr="007925AA">
        <w:rPr>
          <w:rFonts w:ascii="Times New Roman" w:hAnsi="Times New Roman"/>
          <w:sz w:val="24"/>
          <w:szCs w:val="24"/>
        </w:rPr>
        <w:t xml:space="preserve">) normatív szabályozói, a Pest </w:t>
      </w:r>
      <w:r w:rsidR="00CB2C02">
        <w:rPr>
          <w:rFonts w:ascii="Times New Roman" w:hAnsi="Times New Roman"/>
          <w:sz w:val="24"/>
          <w:szCs w:val="24"/>
        </w:rPr>
        <w:t>VMKI</w:t>
      </w:r>
      <w:r w:rsidR="00916597" w:rsidRPr="007925AA">
        <w:rPr>
          <w:rFonts w:ascii="Times New Roman" w:hAnsi="Times New Roman"/>
          <w:sz w:val="24"/>
          <w:szCs w:val="24"/>
        </w:rPr>
        <w:t xml:space="preserve"> Szervezeti és Működési Szabályzata, valamint Érd Katasztrófavédelmi Kirendeltség (</w:t>
      </w:r>
      <w:r w:rsidR="00916597">
        <w:rPr>
          <w:rFonts w:ascii="Times New Roman" w:hAnsi="Times New Roman"/>
          <w:sz w:val="24"/>
          <w:szCs w:val="24"/>
        </w:rPr>
        <w:t xml:space="preserve">a </w:t>
      </w:r>
      <w:r w:rsidR="00916597" w:rsidRPr="007925AA">
        <w:rPr>
          <w:rFonts w:ascii="Times New Roman" w:hAnsi="Times New Roman"/>
          <w:sz w:val="24"/>
          <w:szCs w:val="24"/>
        </w:rPr>
        <w:t xml:space="preserve">továbbiakban: Érd </w:t>
      </w:r>
      <w:proofErr w:type="spellStart"/>
      <w:r w:rsidR="00916597" w:rsidRPr="007925AA">
        <w:rPr>
          <w:rFonts w:ascii="Times New Roman" w:hAnsi="Times New Roman"/>
          <w:sz w:val="24"/>
          <w:szCs w:val="24"/>
        </w:rPr>
        <w:t>KvK</w:t>
      </w:r>
      <w:proofErr w:type="spellEnd"/>
      <w:r w:rsidR="00916597" w:rsidRPr="007925AA">
        <w:rPr>
          <w:rFonts w:ascii="Times New Roman" w:hAnsi="Times New Roman"/>
          <w:sz w:val="24"/>
          <w:szCs w:val="24"/>
        </w:rPr>
        <w:t>)</w:t>
      </w:r>
      <w:r w:rsidR="00916597">
        <w:rPr>
          <w:rFonts w:ascii="Times New Roman" w:hAnsi="Times New Roman"/>
          <w:sz w:val="24"/>
          <w:szCs w:val="24"/>
        </w:rPr>
        <w:t xml:space="preserve"> </w:t>
      </w:r>
      <w:r w:rsidR="00684C58">
        <w:rPr>
          <w:rFonts w:ascii="Times New Roman" w:hAnsi="Times New Roman"/>
          <w:sz w:val="24"/>
          <w:szCs w:val="24"/>
        </w:rPr>
        <w:t xml:space="preserve">ügyrendje alapján végezte a szakszerűség, jogszerűség és az egységesség jegyében. </w:t>
      </w:r>
    </w:p>
    <w:p w14:paraId="264E3C89" w14:textId="6C30123C" w:rsidR="00916597" w:rsidRPr="007925AA" w:rsidRDefault="003D62BB" w:rsidP="00FE475F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Érd</w:t>
      </w:r>
      <w:r w:rsidR="00916597" w:rsidRPr="007925AA">
        <w:rPr>
          <w:rFonts w:ascii="Times New Roman" w:hAnsi="Times New Roman"/>
          <w:sz w:val="24"/>
          <w:szCs w:val="24"/>
        </w:rPr>
        <w:t xml:space="preserve"> HTP az egységes katasztrófavédelmi szervezet helyi szerveként a Pest </w:t>
      </w:r>
      <w:r w:rsidR="00CB2C02">
        <w:rPr>
          <w:rFonts w:ascii="Times New Roman" w:hAnsi="Times New Roman"/>
          <w:sz w:val="24"/>
          <w:szCs w:val="24"/>
        </w:rPr>
        <w:t>VMKI</w:t>
      </w:r>
      <w:r w:rsidR="00916597" w:rsidRPr="007925AA">
        <w:rPr>
          <w:rFonts w:ascii="Times New Roman" w:hAnsi="Times New Roman"/>
          <w:sz w:val="24"/>
          <w:szCs w:val="24"/>
        </w:rPr>
        <w:t xml:space="preserve">, valamint az Érd </w:t>
      </w:r>
      <w:proofErr w:type="spellStart"/>
      <w:r w:rsidR="00916597" w:rsidRPr="007925AA">
        <w:rPr>
          <w:rFonts w:ascii="Times New Roman" w:hAnsi="Times New Roman"/>
          <w:sz w:val="24"/>
          <w:szCs w:val="24"/>
        </w:rPr>
        <w:t>KvK</w:t>
      </w:r>
      <w:proofErr w:type="spellEnd"/>
      <w:r w:rsidR="00916597">
        <w:rPr>
          <w:rFonts w:ascii="Times New Roman" w:hAnsi="Times New Roman"/>
          <w:sz w:val="24"/>
          <w:szCs w:val="24"/>
        </w:rPr>
        <w:t xml:space="preserve"> </w:t>
      </w:r>
      <w:r w:rsidR="00916597" w:rsidRPr="007925AA">
        <w:rPr>
          <w:rFonts w:ascii="Times New Roman" w:hAnsi="Times New Roman"/>
          <w:sz w:val="24"/>
          <w:szCs w:val="24"/>
        </w:rPr>
        <w:t>közvetlen irányítása alatt működik</w:t>
      </w:r>
      <w:r w:rsidR="002A3AAC">
        <w:rPr>
          <w:rFonts w:ascii="Times New Roman" w:hAnsi="Times New Roman"/>
          <w:sz w:val="24"/>
          <w:szCs w:val="24"/>
        </w:rPr>
        <w:t>. M</w:t>
      </w:r>
      <w:r w:rsidR="00916597" w:rsidRPr="00A87379">
        <w:rPr>
          <w:rFonts w:ascii="Times New Roman" w:hAnsi="Times New Roman"/>
          <w:sz w:val="24"/>
          <w:szCs w:val="24"/>
        </w:rPr>
        <w:t xml:space="preserve">űködési területéhez </w:t>
      </w:r>
      <w:r w:rsidR="00D7048E">
        <w:rPr>
          <w:rFonts w:ascii="Times New Roman" w:hAnsi="Times New Roman"/>
          <w:sz w:val="24"/>
          <w:szCs w:val="24"/>
        </w:rPr>
        <w:t>összesen</w:t>
      </w:r>
      <w:r w:rsidR="00D7048E" w:rsidRPr="00A87379">
        <w:rPr>
          <w:rFonts w:ascii="Times New Roman" w:hAnsi="Times New Roman"/>
          <w:sz w:val="24"/>
          <w:szCs w:val="24"/>
        </w:rPr>
        <w:t xml:space="preserve"> </w:t>
      </w:r>
      <w:r w:rsidR="00A87379" w:rsidRPr="00A87379">
        <w:rPr>
          <w:rFonts w:ascii="Times New Roman" w:hAnsi="Times New Roman"/>
          <w:sz w:val="24"/>
          <w:szCs w:val="24"/>
        </w:rPr>
        <w:t>20</w:t>
      </w:r>
      <w:r w:rsidR="00916597" w:rsidRPr="00A87379">
        <w:rPr>
          <w:rFonts w:ascii="Times New Roman" w:hAnsi="Times New Roman"/>
          <w:sz w:val="24"/>
          <w:szCs w:val="24"/>
        </w:rPr>
        <w:t xml:space="preserve"> település</w:t>
      </w:r>
      <w:r w:rsidR="00A87379" w:rsidRPr="00A87379">
        <w:rPr>
          <w:rFonts w:ascii="Times New Roman" w:hAnsi="Times New Roman"/>
          <w:sz w:val="24"/>
          <w:szCs w:val="24"/>
        </w:rPr>
        <w:t xml:space="preserve"> </w:t>
      </w:r>
      <w:r w:rsidR="00916597" w:rsidRPr="00A87379">
        <w:rPr>
          <w:rFonts w:ascii="Times New Roman" w:hAnsi="Times New Roman"/>
          <w:sz w:val="24"/>
          <w:szCs w:val="24"/>
        </w:rPr>
        <w:t>tartozik</w:t>
      </w:r>
      <w:r w:rsidR="00916597" w:rsidRPr="007925AA">
        <w:rPr>
          <w:rFonts w:ascii="Times New Roman" w:hAnsi="Times New Roman"/>
          <w:sz w:val="24"/>
          <w:szCs w:val="24"/>
        </w:rPr>
        <w:t xml:space="preserve">. </w:t>
      </w:r>
    </w:p>
    <w:p w14:paraId="22751D93" w14:textId="37540100" w:rsidR="00916597" w:rsidRPr="003905C2" w:rsidRDefault="00A87379" w:rsidP="00FE475F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működési terület két </w:t>
      </w:r>
      <w:r w:rsidR="00AB6944">
        <w:rPr>
          <w:rFonts w:ascii="Times New Roman" w:hAnsi="Times New Roman"/>
          <w:sz w:val="24"/>
          <w:szCs w:val="24"/>
        </w:rPr>
        <w:t>vár</w:t>
      </w:r>
      <w:r>
        <w:rPr>
          <w:rFonts w:ascii="Times New Roman" w:hAnsi="Times New Roman"/>
          <w:sz w:val="24"/>
          <w:szCs w:val="24"/>
        </w:rPr>
        <w:t xml:space="preserve">megyét és négy járást érint. Fejér </w:t>
      </w:r>
      <w:r w:rsidR="00AB6944">
        <w:rPr>
          <w:rFonts w:ascii="Times New Roman" w:hAnsi="Times New Roman"/>
          <w:sz w:val="24"/>
          <w:szCs w:val="24"/>
        </w:rPr>
        <w:t>vár</w:t>
      </w:r>
      <w:r>
        <w:rPr>
          <w:rFonts w:ascii="Times New Roman" w:hAnsi="Times New Roman"/>
          <w:sz w:val="24"/>
          <w:szCs w:val="24"/>
        </w:rPr>
        <w:t xml:space="preserve">megyében, a Martonvásári járásban két </w:t>
      </w:r>
      <w:r w:rsidR="009776D6">
        <w:rPr>
          <w:rFonts w:ascii="Times New Roman" w:hAnsi="Times New Roman"/>
          <w:sz w:val="24"/>
          <w:szCs w:val="24"/>
        </w:rPr>
        <w:t xml:space="preserve">város </w:t>
      </w:r>
      <w:r w:rsidR="009776D6" w:rsidRPr="007925A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Martonvásár és Ercsi), valamint öt község (Baracska, Kajászó, Ráckeresztúr, Tordas és Vál), a Bicskei Járásban Gyúró nagyközség tartozik a működési területhez. Pe</w:t>
      </w:r>
      <w:r w:rsidR="00082747">
        <w:rPr>
          <w:rFonts w:ascii="Times New Roman" w:hAnsi="Times New Roman"/>
          <w:sz w:val="24"/>
          <w:szCs w:val="24"/>
        </w:rPr>
        <w:t xml:space="preserve">st </w:t>
      </w:r>
      <w:r w:rsidR="00B9562E">
        <w:rPr>
          <w:rFonts w:ascii="Times New Roman" w:hAnsi="Times New Roman"/>
          <w:sz w:val="24"/>
          <w:szCs w:val="24"/>
        </w:rPr>
        <w:t>vár</w:t>
      </w:r>
      <w:r w:rsidR="00082747">
        <w:rPr>
          <w:rFonts w:ascii="Times New Roman" w:hAnsi="Times New Roman"/>
          <w:sz w:val="24"/>
          <w:szCs w:val="24"/>
        </w:rPr>
        <w:t>megyében a Budakeszi járásban két város (Biatorbágy és Budaörs), két község (Herceghalom és Páty), az</w:t>
      </w:r>
      <w:r w:rsidR="00916597" w:rsidRPr="007925AA">
        <w:rPr>
          <w:rFonts w:ascii="Times New Roman" w:hAnsi="Times New Roman"/>
          <w:sz w:val="24"/>
          <w:szCs w:val="24"/>
        </w:rPr>
        <w:t xml:space="preserve"> </w:t>
      </w:r>
      <w:r w:rsidR="003D62BB">
        <w:rPr>
          <w:rFonts w:ascii="Times New Roman" w:hAnsi="Times New Roman"/>
          <w:sz w:val="24"/>
          <w:szCs w:val="24"/>
        </w:rPr>
        <w:t>Érd</w:t>
      </w:r>
      <w:r w:rsidR="00B9562E">
        <w:rPr>
          <w:rFonts w:ascii="Times New Roman" w:hAnsi="Times New Roman"/>
          <w:sz w:val="24"/>
          <w:szCs w:val="24"/>
        </w:rPr>
        <w:t>i j</w:t>
      </w:r>
      <w:r w:rsidR="00916597" w:rsidRPr="007925AA">
        <w:rPr>
          <w:rFonts w:ascii="Times New Roman" w:hAnsi="Times New Roman"/>
          <w:sz w:val="24"/>
          <w:szCs w:val="24"/>
        </w:rPr>
        <w:t xml:space="preserve">árásban </w:t>
      </w:r>
      <w:r w:rsidR="00082747" w:rsidRPr="00082747">
        <w:rPr>
          <w:rFonts w:ascii="Times New Roman" w:hAnsi="Times New Roman"/>
          <w:sz w:val="24"/>
          <w:szCs w:val="24"/>
        </w:rPr>
        <w:t>öt</w:t>
      </w:r>
      <w:r w:rsidR="00916597" w:rsidRPr="00082747">
        <w:rPr>
          <w:rFonts w:ascii="Times New Roman" w:hAnsi="Times New Roman"/>
          <w:sz w:val="24"/>
          <w:szCs w:val="24"/>
        </w:rPr>
        <w:t xml:space="preserve"> város (</w:t>
      </w:r>
      <w:r w:rsidR="003D62BB" w:rsidRPr="00082747">
        <w:rPr>
          <w:rFonts w:ascii="Times New Roman" w:hAnsi="Times New Roman"/>
          <w:sz w:val="24"/>
          <w:szCs w:val="24"/>
        </w:rPr>
        <w:t>Érd</w:t>
      </w:r>
      <w:r w:rsidR="00916597" w:rsidRPr="00082747">
        <w:rPr>
          <w:rFonts w:ascii="Times New Roman" w:hAnsi="Times New Roman"/>
          <w:sz w:val="24"/>
          <w:szCs w:val="24"/>
        </w:rPr>
        <w:t xml:space="preserve">, </w:t>
      </w:r>
      <w:r w:rsidR="00082747" w:rsidRPr="00082747">
        <w:rPr>
          <w:rFonts w:ascii="Times New Roman" w:hAnsi="Times New Roman"/>
          <w:sz w:val="24"/>
          <w:szCs w:val="24"/>
        </w:rPr>
        <w:t xml:space="preserve">Diósd, Etyek, Százhalombatta, Törökbálint), Tárnok nagyközség és két község (Pusztazámor és Sóskút) </w:t>
      </w:r>
      <w:r w:rsidR="00916597" w:rsidRPr="00082747">
        <w:rPr>
          <w:rFonts w:ascii="Times New Roman" w:hAnsi="Times New Roman"/>
          <w:sz w:val="24"/>
          <w:szCs w:val="24"/>
        </w:rPr>
        <w:t>található.</w:t>
      </w:r>
      <w:r w:rsidR="00916597" w:rsidRPr="00B72A6B">
        <w:rPr>
          <w:rFonts w:ascii="Times New Roman" w:hAnsi="Times New Roman"/>
          <w:sz w:val="24"/>
          <w:szCs w:val="24"/>
        </w:rPr>
        <w:t xml:space="preserve"> </w:t>
      </w:r>
      <w:r w:rsidR="00082747" w:rsidRPr="00082747">
        <w:rPr>
          <w:rFonts w:ascii="Times New Roman" w:hAnsi="Times New Roman"/>
          <w:sz w:val="24"/>
          <w:szCs w:val="24"/>
        </w:rPr>
        <w:t>Az</w:t>
      </w:r>
      <w:r w:rsidR="00916597" w:rsidRPr="00082747">
        <w:rPr>
          <w:rFonts w:ascii="Times New Roman" w:hAnsi="Times New Roman"/>
          <w:sz w:val="24"/>
          <w:szCs w:val="24"/>
        </w:rPr>
        <w:t xml:space="preserve"> </w:t>
      </w:r>
      <w:r w:rsidR="003D62BB" w:rsidRPr="00082747">
        <w:rPr>
          <w:rFonts w:ascii="Times New Roman" w:hAnsi="Times New Roman"/>
          <w:sz w:val="24"/>
          <w:szCs w:val="24"/>
        </w:rPr>
        <w:t>Érd</w:t>
      </w:r>
      <w:r w:rsidR="00916597" w:rsidRPr="00082747">
        <w:rPr>
          <w:rFonts w:ascii="Times New Roman" w:hAnsi="Times New Roman"/>
          <w:sz w:val="24"/>
          <w:szCs w:val="24"/>
        </w:rPr>
        <w:t xml:space="preserve"> HTP </w:t>
      </w:r>
      <w:r w:rsidR="007037C1">
        <w:rPr>
          <w:rFonts w:ascii="Times New Roman" w:hAnsi="Times New Roman"/>
          <w:sz w:val="24"/>
          <w:szCs w:val="24"/>
        </w:rPr>
        <w:t>631,49</w:t>
      </w:r>
      <w:r w:rsidR="00082747" w:rsidRPr="00082747">
        <w:rPr>
          <w:rFonts w:ascii="Times New Roman" w:hAnsi="Times New Roman"/>
          <w:sz w:val="24"/>
          <w:szCs w:val="24"/>
        </w:rPr>
        <w:t xml:space="preserve"> km</w:t>
      </w:r>
      <w:r w:rsidR="00082747" w:rsidRPr="00082747">
        <w:rPr>
          <w:rFonts w:ascii="Times New Roman" w:hAnsi="Times New Roman"/>
          <w:sz w:val="24"/>
          <w:szCs w:val="24"/>
          <w:vertAlign w:val="superscript"/>
        </w:rPr>
        <w:t>2</w:t>
      </w:r>
      <w:r w:rsidR="00082747" w:rsidRPr="00082747">
        <w:rPr>
          <w:rFonts w:ascii="Times New Roman" w:hAnsi="Times New Roman"/>
          <w:sz w:val="24"/>
          <w:szCs w:val="24"/>
        </w:rPr>
        <w:t xml:space="preserve">-en </w:t>
      </w:r>
      <w:r w:rsidR="00916597" w:rsidRPr="00082747">
        <w:rPr>
          <w:rFonts w:ascii="Times New Roman" w:hAnsi="Times New Roman"/>
          <w:sz w:val="24"/>
          <w:szCs w:val="24"/>
        </w:rPr>
        <w:t xml:space="preserve">összesen </w:t>
      </w:r>
      <w:r w:rsidR="007037C1">
        <w:rPr>
          <w:rFonts w:ascii="Times New Roman" w:hAnsi="Times New Roman"/>
          <w:sz w:val="24"/>
          <w:szCs w:val="24"/>
        </w:rPr>
        <w:t>219</w:t>
      </w:r>
      <w:r w:rsidR="005D3753">
        <w:rPr>
          <w:rFonts w:ascii="Times New Roman" w:hAnsi="Times New Roman"/>
          <w:sz w:val="24"/>
          <w:szCs w:val="24"/>
        </w:rPr>
        <w:t>.</w:t>
      </w:r>
      <w:r w:rsidR="007037C1">
        <w:rPr>
          <w:rFonts w:ascii="Times New Roman" w:hAnsi="Times New Roman"/>
          <w:sz w:val="24"/>
          <w:szCs w:val="24"/>
        </w:rPr>
        <w:t>652</w:t>
      </w:r>
      <w:r w:rsidR="00916597" w:rsidRPr="00082747">
        <w:rPr>
          <w:rFonts w:ascii="Times New Roman" w:hAnsi="Times New Roman"/>
          <w:sz w:val="24"/>
          <w:szCs w:val="24"/>
        </w:rPr>
        <w:t xml:space="preserve"> fő lakos tűzvédelmi biztonságát látja el.</w:t>
      </w:r>
    </w:p>
    <w:p w14:paraId="3AEF1192" w14:textId="2505F332" w:rsidR="005718DE" w:rsidRDefault="00306E55" w:rsidP="005718DE">
      <w:pPr>
        <w:suppressAutoHyphens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Területünkön megtalálható az M1, M6, M7 autópálya, az M0 autóút, valamint az 1-es, 6-os, 7-es főutak. </w:t>
      </w:r>
      <w:r w:rsidRPr="00524A0D">
        <w:rPr>
          <w:rFonts w:ascii="Times New Roman" w:hAnsi="Times New Roman"/>
          <w:sz w:val="24"/>
          <w:szCs w:val="24"/>
        </w:rPr>
        <w:t>Lakhatás, valamint logisztika terén középmagas társasházak, irodaházak</w:t>
      </w:r>
      <w:r>
        <w:rPr>
          <w:rFonts w:ascii="Times New Roman" w:hAnsi="Times New Roman"/>
          <w:sz w:val="24"/>
          <w:szCs w:val="24"/>
        </w:rPr>
        <w:t>, nem nyi</w:t>
      </w:r>
      <w:r w:rsidR="00AB6944">
        <w:rPr>
          <w:rFonts w:ascii="Times New Roman" w:hAnsi="Times New Roman"/>
          <w:sz w:val="24"/>
          <w:szCs w:val="24"/>
        </w:rPr>
        <w:t>lvános repülőterek vannak jelen</w:t>
      </w:r>
      <w:r>
        <w:rPr>
          <w:rFonts w:ascii="Times New Roman" w:hAnsi="Times New Roman"/>
          <w:sz w:val="24"/>
          <w:szCs w:val="24"/>
        </w:rPr>
        <w:t>.</w:t>
      </w:r>
      <w:r w:rsidR="005718DE" w:rsidRPr="005718DE">
        <w:rPr>
          <w:rFonts w:ascii="Times New Roman" w:hAnsi="Times New Roman"/>
          <w:sz w:val="24"/>
          <w:szCs w:val="24"/>
        </w:rPr>
        <w:t xml:space="preserve"> </w:t>
      </w:r>
    </w:p>
    <w:p w14:paraId="6ACD3AC2" w14:textId="2263E7F5" w:rsidR="00306E55" w:rsidRDefault="00B9562E" w:rsidP="00FE475F">
      <w:pPr>
        <w:suppressAutoHyphens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Érd HTP</w:t>
      </w:r>
      <w:r w:rsidR="002A3AAC">
        <w:rPr>
          <w:rFonts w:ascii="Times New Roman" w:hAnsi="Times New Roman"/>
          <w:sz w:val="24"/>
          <w:szCs w:val="24"/>
        </w:rPr>
        <w:t xml:space="preserve"> közvetlen irányításához tartozik a Törökbálin</w:t>
      </w:r>
      <w:r>
        <w:rPr>
          <w:rFonts w:ascii="Times New Roman" w:hAnsi="Times New Roman"/>
          <w:sz w:val="24"/>
          <w:szCs w:val="24"/>
        </w:rPr>
        <w:t xml:space="preserve">ti Katasztrófavédelmi </w:t>
      </w:r>
      <w:r w:rsidR="005D3753"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rs. A HTP</w:t>
      </w:r>
      <w:r w:rsidR="002A3AAC">
        <w:rPr>
          <w:rFonts w:ascii="Times New Roman" w:hAnsi="Times New Roman"/>
          <w:sz w:val="24"/>
          <w:szCs w:val="24"/>
        </w:rPr>
        <w:t xml:space="preserve"> szakmai felügyelete alá tartozik a Vál</w:t>
      </w:r>
      <w:r>
        <w:rPr>
          <w:rFonts w:ascii="Times New Roman" w:hAnsi="Times New Roman"/>
          <w:sz w:val="24"/>
          <w:szCs w:val="24"/>
        </w:rPr>
        <w:t>i</w:t>
      </w:r>
      <w:r w:rsidR="002A3AAC">
        <w:rPr>
          <w:rFonts w:ascii="Times New Roman" w:hAnsi="Times New Roman"/>
          <w:sz w:val="24"/>
          <w:szCs w:val="24"/>
        </w:rPr>
        <w:t xml:space="preserve"> Önkormányzati Tűzoltóság (</w:t>
      </w:r>
      <w:r w:rsidR="005D3753">
        <w:rPr>
          <w:rFonts w:ascii="Times New Roman" w:hAnsi="Times New Roman"/>
          <w:sz w:val="24"/>
          <w:szCs w:val="24"/>
        </w:rPr>
        <w:t xml:space="preserve">a </w:t>
      </w:r>
      <w:r w:rsidR="002A3AAC">
        <w:rPr>
          <w:rFonts w:ascii="Times New Roman" w:hAnsi="Times New Roman"/>
          <w:sz w:val="24"/>
          <w:szCs w:val="24"/>
        </w:rPr>
        <w:t>továbbiakban</w:t>
      </w:r>
      <w:r w:rsidR="005D3753">
        <w:rPr>
          <w:rFonts w:ascii="Times New Roman" w:hAnsi="Times New Roman"/>
          <w:sz w:val="24"/>
          <w:szCs w:val="24"/>
        </w:rPr>
        <w:t>:</w:t>
      </w:r>
      <w:r w:rsidR="002A3AAC">
        <w:rPr>
          <w:rFonts w:ascii="Times New Roman" w:hAnsi="Times New Roman"/>
          <w:sz w:val="24"/>
          <w:szCs w:val="24"/>
        </w:rPr>
        <w:t xml:space="preserve"> Vál ÖTP), </w:t>
      </w:r>
      <w:r w:rsidR="005D3753">
        <w:rPr>
          <w:rFonts w:ascii="Times New Roman" w:hAnsi="Times New Roman"/>
          <w:sz w:val="24"/>
          <w:szCs w:val="24"/>
        </w:rPr>
        <w:t>a</w:t>
      </w:r>
      <w:r w:rsidR="002A3AAC">
        <w:rPr>
          <w:rFonts w:ascii="Times New Roman" w:hAnsi="Times New Roman"/>
          <w:sz w:val="24"/>
          <w:szCs w:val="24"/>
        </w:rPr>
        <w:t xml:space="preserve">mely </w:t>
      </w:r>
      <w:r w:rsidR="00C62838">
        <w:rPr>
          <w:rFonts w:ascii="Times New Roman" w:hAnsi="Times New Roman"/>
          <w:sz w:val="24"/>
          <w:szCs w:val="24"/>
        </w:rPr>
        <w:t>hat</w:t>
      </w:r>
      <w:r w:rsidR="0053465B" w:rsidRPr="00951453">
        <w:rPr>
          <w:rFonts w:ascii="Times New Roman" w:hAnsi="Times New Roman"/>
          <w:sz w:val="24"/>
          <w:szCs w:val="24"/>
        </w:rPr>
        <w:t xml:space="preserve"> település elsődleges védelmét biztosítja</w:t>
      </w:r>
      <w:r w:rsidR="0053465B">
        <w:rPr>
          <w:rFonts w:ascii="Times New Roman" w:hAnsi="Times New Roman"/>
          <w:sz w:val="24"/>
          <w:szCs w:val="24"/>
        </w:rPr>
        <w:t xml:space="preserve">. </w:t>
      </w:r>
      <w:r w:rsidR="0053465B" w:rsidRPr="00951453">
        <w:rPr>
          <w:rFonts w:ascii="Times New Roman" w:hAnsi="Times New Roman"/>
          <w:sz w:val="24"/>
          <w:szCs w:val="24"/>
        </w:rPr>
        <w:t xml:space="preserve">A HTP területén </w:t>
      </w:r>
      <w:r w:rsidR="0053465B">
        <w:rPr>
          <w:rFonts w:ascii="Times New Roman" w:hAnsi="Times New Roman"/>
          <w:sz w:val="24"/>
          <w:szCs w:val="24"/>
        </w:rPr>
        <w:t>kilenc</w:t>
      </w:r>
      <w:r w:rsidR="0053465B" w:rsidRPr="00951453">
        <w:rPr>
          <w:rFonts w:ascii="Times New Roman" w:hAnsi="Times New Roman"/>
          <w:sz w:val="24"/>
          <w:szCs w:val="24"/>
        </w:rPr>
        <w:t xml:space="preserve"> Önkéntes Tűzoltó Egyesület (</w:t>
      </w:r>
      <w:r w:rsidR="005D3753">
        <w:rPr>
          <w:rFonts w:ascii="Times New Roman" w:hAnsi="Times New Roman"/>
          <w:sz w:val="24"/>
          <w:szCs w:val="24"/>
        </w:rPr>
        <w:t xml:space="preserve">a </w:t>
      </w:r>
      <w:r w:rsidR="0053465B" w:rsidRPr="00951453">
        <w:rPr>
          <w:rFonts w:ascii="Times New Roman" w:hAnsi="Times New Roman"/>
          <w:sz w:val="24"/>
          <w:szCs w:val="24"/>
        </w:rPr>
        <w:t>továbbiakban</w:t>
      </w:r>
      <w:r w:rsidR="005D3753">
        <w:rPr>
          <w:rFonts w:ascii="Times New Roman" w:hAnsi="Times New Roman"/>
          <w:sz w:val="24"/>
          <w:szCs w:val="24"/>
        </w:rPr>
        <w:t xml:space="preserve">: ÖTE) működik. </w:t>
      </w:r>
      <w:r>
        <w:rPr>
          <w:rFonts w:ascii="Times New Roman" w:hAnsi="Times New Roman"/>
          <w:sz w:val="24"/>
          <w:szCs w:val="24"/>
        </w:rPr>
        <w:t>Marton és Budaö</w:t>
      </w:r>
      <w:r w:rsidR="005D3753">
        <w:rPr>
          <w:rFonts w:ascii="Times New Roman" w:hAnsi="Times New Roman"/>
          <w:sz w:val="24"/>
          <w:szCs w:val="24"/>
        </w:rPr>
        <w:t xml:space="preserve">rs </w:t>
      </w:r>
      <w:r w:rsidR="0053465B">
        <w:rPr>
          <w:rFonts w:ascii="Times New Roman" w:hAnsi="Times New Roman"/>
          <w:sz w:val="24"/>
          <w:szCs w:val="24"/>
        </w:rPr>
        <w:t>önállóan beavatkozó önkéntes tűzoltó egyesület.</w:t>
      </w:r>
      <w:r w:rsidR="0053465B" w:rsidRPr="00951453">
        <w:rPr>
          <w:rFonts w:ascii="Times New Roman" w:hAnsi="Times New Roman"/>
          <w:sz w:val="24"/>
          <w:szCs w:val="24"/>
        </w:rPr>
        <w:t xml:space="preserve"> </w:t>
      </w:r>
      <w:r w:rsidR="0053465B">
        <w:rPr>
          <w:rFonts w:ascii="Times New Roman" w:hAnsi="Times New Roman"/>
          <w:sz w:val="24"/>
          <w:szCs w:val="24"/>
        </w:rPr>
        <w:t xml:space="preserve">A százhalombattai MOL területén </w:t>
      </w:r>
      <w:r w:rsidR="00544B5B">
        <w:rPr>
          <w:rFonts w:ascii="Times New Roman" w:hAnsi="Times New Roman"/>
          <w:sz w:val="24"/>
          <w:szCs w:val="24"/>
        </w:rPr>
        <w:t xml:space="preserve">a FER </w:t>
      </w:r>
      <w:r w:rsidR="0053465B">
        <w:rPr>
          <w:rFonts w:ascii="Times New Roman" w:hAnsi="Times New Roman"/>
          <w:sz w:val="24"/>
          <w:szCs w:val="24"/>
        </w:rPr>
        <w:t xml:space="preserve">létesítményi tűzoltóság működik. Az </w:t>
      </w:r>
      <w:proofErr w:type="spellStart"/>
      <w:r w:rsidR="0053465B">
        <w:rPr>
          <w:rFonts w:ascii="Times New Roman" w:hAnsi="Times New Roman"/>
          <w:sz w:val="24"/>
          <w:szCs w:val="24"/>
        </w:rPr>
        <w:t>ÖTE</w:t>
      </w:r>
      <w:r w:rsidR="000F44F3">
        <w:rPr>
          <w:rFonts w:ascii="Times New Roman" w:hAnsi="Times New Roman"/>
          <w:sz w:val="24"/>
          <w:szCs w:val="24"/>
        </w:rPr>
        <w:t>-k</w:t>
      </w:r>
      <w:proofErr w:type="spellEnd"/>
      <w:r w:rsidR="0053465B">
        <w:rPr>
          <w:rFonts w:ascii="Times New Roman" w:hAnsi="Times New Roman"/>
          <w:sz w:val="24"/>
          <w:szCs w:val="24"/>
        </w:rPr>
        <w:t xml:space="preserve"> és </w:t>
      </w:r>
      <w:r w:rsidR="00544B5B">
        <w:rPr>
          <w:rFonts w:ascii="Times New Roman" w:hAnsi="Times New Roman"/>
          <w:sz w:val="24"/>
          <w:szCs w:val="24"/>
        </w:rPr>
        <w:t xml:space="preserve">az </w:t>
      </w:r>
      <w:r w:rsidR="0053465B">
        <w:rPr>
          <w:rFonts w:ascii="Times New Roman" w:hAnsi="Times New Roman"/>
          <w:sz w:val="24"/>
          <w:szCs w:val="24"/>
        </w:rPr>
        <w:t xml:space="preserve">LTP </w:t>
      </w:r>
      <w:r w:rsidR="0053465B" w:rsidRPr="00951453">
        <w:rPr>
          <w:rFonts w:ascii="Times New Roman" w:hAnsi="Times New Roman"/>
          <w:sz w:val="24"/>
          <w:szCs w:val="24"/>
        </w:rPr>
        <w:t>szakmai felügyelet</w:t>
      </w:r>
      <w:r>
        <w:rPr>
          <w:rFonts w:ascii="Times New Roman" w:hAnsi="Times New Roman"/>
          <w:sz w:val="24"/>
          <w:szCs w:val="24"/>
        </w:rPr>
        <w:t>ét</w:t>
      </w:r>
      <w:r w:rsidR="0053465B" w:rsidRPr="00951453">
        <w:rPr>
          <w:rFonts w:ascii="Times New Roman" w:hAnsi="Times New Roman"/>
          <w:sz w:val="24"/>
          <w:szCs w:val="24"/>
        </w:rPr>
        <w:t xml:space="preserve"> a HTP látja el.</w:t>
      </w:r>
      <w:r w:rsidR="0053465B" w:rsidRPr="0053465B">
        <w:rPr>
          <w:rFonts w:ascii="Times New Roman" w:hAnsi="Times New Roman"/>
          <w:sz w:val="24"/>
          <w:szCs w:val="24"/>
        </w:rPr>
        <w:t xml:space="preserve"> </w:t>
      </w:r>
      <w:r w:rsidR="0053465B" w:rsidRPr="00951453">
        <w:rPr>
          <w:rFonts w:ascii="Times New Roman" w:hAnsi="Times New Roman"/>
          <w:sz w:val="24"/>
          <w:szCs w:val="24"/>
        </w:rPr>
        <w:t xml:space="preserve">A korábban megalakult </w:t>
      </w:r>
      <w:r w:rsidR="005D3753">
        <w:rPr>
          <w:rFonts w:ascii="Times New Roman" w:hAnsi="Times New Roman"/>
          <w:sz w:val="24"/>
          <w:szCs w:val="24"/>
        </w:rPr>
        <w:t xml:space="preserve">három járási mentőcsoporttal folyamatos az </w:t>
      </w:r>
      <w:r w:rsidR="0053465B" w:rsidRPr="00225508">
        <w:rPr>
          <w:rFonts w:ascii="Times New Roman" w:hAnsi="Times New Roman"/>
          <w:sz w:val="24"/>
          <w:szCs w:val="24"/>
        </w:rPr>
        <w:t>együttműködés</w:t>
      </w:r>
      <w:r w:rsidR="005D3753">
        <w:rPr>
          <w:rFonts w:ascii="Times New Roman" w:hAnsi="Times New Roman"/>
          <w:sz w:val="24"/>
          <w:szCs w:val="24"/>
        </w:rPr>
        <w:t>.</w:t>
      </w:r>
    </w:p>
    <w:p w14:paraId="170AF0E3" w14:textId="49C1EA0E" w:rsidR="008444E0" w:rsidRPr="00225508" w:rsidRDefault="008444E0" w:rsidP="008444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5508">
        <w:rPr>
          <w:rFonts w:ascii="Times New Roman" w:hAnsi="Times New Roman"/>
          <w:sz w:val="24"/>
          <w:szCs w:val="24"/>
        </w:rPr>
        <w:t>A HTP technikai szervezés</w:t>
      </w:r>
      <w:r w:rsidR="005D3753">
        <w:rPr>
          <w:rFonts w:ascii="Times New Roman" w:hAnsi="Times New Roman"/>
          <w:sz w:val="24"/>
          <w:szCs w:val="24"/>
        </w:rPr>
        <w:t>i állománytáblázat szerint:</w:t>
      </w:r>
      <w:r w:rsidRPr="00225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225508">
        <w:rPr>
          <w:rFonts w:ascii="Times New Roman" w:hAnsi="Times New Roman"/>
          <w:sz w:val="24"/>
          <w:szCs w:val="24"/>
        </w:rPr>
        <w:t xml:space="preserve"> gépjárműfecskendő (egy tartalék</w:t>
      </w:r>
      <w:r w:rsidR="0024584B">
        <w:rPr>
          <w:rFonts w:ascii="Times New Roman" w:hAnsi="Times New Roman"/>
          <w:sz w:val="24"/>
          <w:szCs w:val="24"/>
        </w:rPr>
        <w:t>kal</w:t>
      </w:r>
      <w:r w:rsidRPr="00225508">
        <w:rPr>
          <w:rFonts w:ascii="Times New Roman" w:hAnsi="Times New Roman"/>
          <w:sz w:val="24"/>
          <w:szCs w:val="24"/>
        </w:rPr>
        <w:t xml:space="preserve">), magasból mentő, műszaki mentő, egy vízszállító, továbbá a szervezési állománytáblázat szerinti </w:t>
      </w:r>
      <w:r>
        <w:rPr>
          <w:rFonts w:ascii="Times New Roman" w:hAnsi="Times New Roman"/>
          <w:sz w:val="24"/>
          <w:szCs w:val="24"/>
        </w:rPr>
        <w:t>98</w:t>
      </w:r>
      <w:r w:rsidRPr="00225508">
        <w:rPr>
          <w:rFonts w:ascii="Times New Roman" w:hAnsi="Times New Roman"/>
          <w:sz w:val="24"/>
          <w:szCs w:val="24"/>
        </w:rPr>
        <w:t xml:space="preserve"> fő biztosítja a terület </w:t>
      </w:r>
      <w:r w:rsidR="000F44F3">
        <w:rPr>
          <w:rFonts w:ascii="Times New Roman" w:hAnsi="Times New Roman"/>
          <w:sz w:val="24"/>
          <w:szCs w:val="24"/>
        </w:rPr>
        <w:t xml:space="preserve">mentő </w:t>
      </w:r>
      <w:r w:rsidRPr="00225508">
        <w:rPr>
          <w:rFonts w:ascii="Times New Roman" w:hAnsi="Times New Roman"/>
          <w:sz w:val="24"/>
          <w:szCs w:val="24"/>
        </w:rPr>
        <w:t>tűzvédelmét. Az állomány összetételét szemlélve megálla</w:t>
      </w:r>
      <w:r w:rsidR="000F44F3">
        <w:rPr>
          <w:rFonts w:ascii="Times New Roman" w:hAnsi="Times New Roman"/>
          <w:sz w:val="24"/>
          <w:szCs w:val="24"/>
        </w:rPr>
        <w:t>pítható, hogy mind irányítói</w:t>
      </w:r>
      <w:r w:rsidR="00B9562E">
        <w:rPr>
          <w:rFonts w:ascii="Times New Roman" w:hAnsi="Times New Roman"/>
          <w:sz w:val="24"/>
          <w:szCs w:val="24"/>
        </w:rPr>
        <w:t>, mind beosztotti tekintetben</w:t>
      </w:r>
      <w:r w:rsidRPr="00225508">
        <w:rPr>
          <w:rFonts w:ascii="Times New Roman" w:hAnsi="Times New Roman"/>
          <w:sz w:val="24"/>
          <w:szCs w:val="24"/>
        </w:rPr>
        <w:t xml:space="preserve"> nagyfokú szakmai tapasztalat </w:t>
      </w:r>
      <w:r w:rsidR="005D3753">
        <w:rPr>
          <w:rFonts w:ascii="Times New Roman" w:hAnsi="Times New Roman"/>
          <w:sz w:val="24"/>
          <w:szCs w:val="24"/>
        </w:rPr>
        <w:t xml:space="preserve">és rátermettség </w:t>
      </w:r>
      <w:r w:rsidRPr="00225508">
        <w:rPr>
          <w:rFonts w:ascii="Times New Roman" w:hAnsi="Times New Roman"/>
          <w:sz w:val="24"/>
          <w:szCs w:val="24"/>
        </w:rPr>
        <w:t>a jellemző.</w:t>
      </w:r>
    </w:p>
    <w:p w14:paraId="6B37A450" w14:textId="284E9379" w:rsidR="005D3753" w:rsidRDefault="008444E0" w:rsidP="001835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5508">
        <w:rPr>
          <w:rFonts w:ascii="Times New Roman" w:hAnsi="Times New Roman"/>
          <w:sz w:val="24"/>
          <w:szCs w:val="24"/>
        </w:rPr>
        <w:t>A működési területén több jelentős közút és vasútvonal is keresztülhalad, valamint a vízi közlekedés is nagy forgalmú</w:t>
      </w:r>
      <w:r w:rsidR="005D3753">
        <w:rPr>
          <w:rFonts w:ascii="Times New Roman" w:hAnsi="Times New Roman"/>
          <w:sz w:val="24"/>
          <w:szCs w:val="24"/>
        </w:rPr>
        <w:t xml:space="preserve">. Mindhárom szállítási ágazat a </w:t>
      </w:r>
      <w:r w:rsidRPr="00225508">
        <w:rPr>
          <w:rFonts w:ascii="Times New Roman" w:hAnsi="Times New Roman"/>
          <w:sz w:val="24"/>
          <w:szCs w:val="24"/>
        </w:rPr>
        <w:t xml:space="preserve">tűzoltói állomány részéről speciális beavatkozási ismereteket </w:t>
      </w:r>
      <w:r w:rsidR="000F44F3">
        <w:rPr>
          <w:rFonts w:ascii="Times New Roman" w:hAnsi="Times New Roman"/>
          <w:sz w:val="24"/>
          <w:szCs w:val="24"/>
        </w:rPr>
        <w:t xml:space="preserve">és felszereléseket </w:t>
      </w:r>
      <w:r w:rsidRPr="00225508">
        <w:rPr>
          <w:rFonts w:ascii="Times New Roman" w:hAnsi="Times New Roman"/>
          <w:sz w:val="24"/>
          <w:szCs w:val="24"/>
        </w:rPr>
        <w:t xml:space="preserve">igényel. Több, jelentős számú munkavállalót foglalkoztató üzem, oktatási és egyéb létesítmény is található a területen. Tűzoltási és műszaki mentési tervvel </w:t>
      </w:r>
      <w:r w:rsidR="00F54CAF">
        <w:rPr>
          <w:rFonts w:ascii="Times New Roman" w:hAnsi="Times New Roman"/>
          <w:sz w:val="24"/>
          <w:szCs w:val="24"/>
        </w:rPr>
        <w:t>ötven</w:t>
      </w:r>
      <w:r w:rsidRPr="00225508">
        <w:rPr>
          <w:rFonts w:ascii="Times New Roman" w:hAnsi="Times New Roman"/>
          <w:sz w:val="24"/>
          <w:szCs w:val="24"/>
        </w:rPr>
        <w:t xml:space="preserve"> létesítmény rendelkezik. </w:t>
      </w:r>
    </w:p>
    <w:p w14:paraId="2C27FDD7" w14:textId="77777777" w:rsidR="00183508" w:rsidRDefault="00183508" w:rsidP="001835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B039B" w14:textId="77777777" w:rsidR="00183508" w:rsidRDefault="00183508" w:rsidP="001835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1E5E4" w14:textId="77777777" w:rsidR="00183508" w:rsidRPr="00183508" w:rsidRDefault="00183508" w:rsidP="001835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30D66" w14:textId="64CF7D5F" w:rsidR="00183508" w:rsidRDefault="00183508" w:rsidP="0018350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7CC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2024. szeptemberében a dunai árvízi védekezés kapcsán folyamatos kapcsolat volt az önkormányzatokkal és társszervekkel. A levonult őszi árhullám </w:t>
      </w:r>
      <w:r w:rsidR="0052706E">
        <w:rPr>
          <w:rFonts w:ascii="Times New Roman" w:eastAsia="Times New Roman" w:hAnsi="Times New Roman"/>
          <w:sz w:val="24"/>
          <w:szCs w:val="24"/>
          <w:lang w:eastAsia="zh-CN"/>
        </w:rPr>
        <w:t>során</w:t>
      </w:r>
      <w:r w:rsidRPr="009B7CC2">
        <w:rPr>
          <w:rFonts w:ascii="Times New Roman" w:eastAsia="Times New Roman" w:hAnsi="Times New Roman"/>
          <w:sz w:val="24"/>
          <w:szCs w:val="24"/>
          <w:lang w:eastAsia="zh-CN"/>
        </w:rPr>
        <w:t xml:space="preserve"> felmerült védekezési és kárfelszámolási feladatainkat végrehajtottuk.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A térségben sikeres árvízi védekezés történt.</w:t>
      </w:r>
    </w:p>
    <w:p w14:paraId="1BC653A1" w14:textId="6FB72C4D" w:rsidR="00183508" w:rsidRPr="00183508" w:rsidRDefault="00183508" w:rsidP="0018350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803">
        <w:rPr>
          <w:rFonts w:ascii="Times New Roman" w:eastAsia="Times New Roman" w:hAnsi="Times New Roman"/>
          <w:sz w:val="24"/>
          <w:szCs w:val="24"/>
          <w:lang w:eastAsia="zh-CN"/>
        </w:rPr>
        <w:t>Az árhullámot követően a helyreállítási munkálatok összehangoltan, gyorsan megtörténtek. A normál működésre való visszaállás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fertőtlenítés</w:t>
      </w:r>
      <w:r w:rsidRPr="00575803">
        <w:rPr>
          <w:rFonts w:ascii="Times New Roman" w:eastAsia="Times New Roman" w:hAnsi="Times New Roman"/>
          <w:sz w:val="24"/>
          <w:szCs w:val="24"/>
          <w:lang w:eastAsia="zh-CN"/>
        </w:rPr>
        <w:t xml:space="preserve"> zökkenőmentesen megvalósult. Védekezési munkálatainkat széles körű lakossági megelégedés kísérte. </w:t>
      </w:r>
    </w:p>
    <w:p w14:paraId="0E2A046D" w14:textId="67CE7DB6" w:rsidR="008444E0" w:rsidRDefault="00AB6944" w:rsidP="008444E0">
      <w:pPr>
        <w:suppressAutoHyphens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Több patakot, csatornát é</w:t>
      </w:r>
      <w:r w:rsidR="00183508">
        <w:rPr>
          <w:rFonts w:ascii="Times New Roman" w:hAnsi="Times New Roman"/>
          <w:sz w:val="24"/>
          <w:szCs w:val="24"/>
        </w:rPr>
        <w:t>rintett</w:t>
      </w:r>
      <w:r w:rsidR="008444E0" w:rsidRPr="00225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áradás visszaduzzasztó hatása</w:t>
      </w:r>
      <w:r w:rsidR="008444E0" w:rsidRPr="00225508">
        <w:rPr>
          <w:rFonts w:ascii="Times New Roman" w:hAnsi="Times New Roman"/>
          <w:sz w:val="24"/>
          <w:szCs w:val="24"/>
        </w:rPr>
        <w:t xml:space="preserve">. A domborzati viszonyok alapján, a terület megosztottságát jellemzi, hogy magas </w:t>
      </w:r>
      <w:r w:rsidR="008444E0">
        <w:rPr>
          <w:rFonts w:ascii="Times New Roman" w:hAnsi="Times New Roman"/>
          <w:sz w:val="24"/>
          <w:szCs w:val="24"/>
        </w:rPr>
        <w:t>domb</w:t>
      </w:r>
      <w:r w:rsidR="008444E0" w:rsidRPr="00225508">
        <w:rPr>
          <w:rFonts w:ascii="Times New Roman" w:hAnsi="Times New Roman"/>
          <w:sz w:val="24"/>
          <w:szCs w:val="24"/>
        </w:rPr>
        <w:t>vidék és síkság is található a területen. A kisebb gyorsfolyású patakok szintén gyakori feladatot rónak a katasztrófavédelemre.</w:t>
      </w:r>
    </w:p>
    <w:p w14:paraId="01FC6706" w14:textId="20DA9256" w:rsidR="00916597" w:rsidRPr="00C54626" w:rsidRDefault="008444E0" w:rsidP="00306E55">
      <w:pPr>
        <w:suppressAutoHyphens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225508">
        <w:rPr>
          <w:rFonts w:ascii="Times New Roman" w:hAnsi="Times New Roman"/>
          <w:sz w:val="24"/>
          <w:szCs w:val="24"/>
        </w:rPr>
        <w:t>A 20</w:t>
      </w:r>
      <w:r w:rsidR="00E934EF">
        <w:rPr>
          <w:rFonts w:ascii="Times New Roman" w:hAnsi="Times New Roman"/>
          <w:sz w:val="24"/>
          <w:szCs w:val="24"/>
        </w:rPr>
        <w:t>24</w:t>
      </w:r>
      <w:r w:rsidRPr="00225508">
        <w:rPr>
          <w:rFonts w:ascii="Times New Roman" w:hAnsi="Times New Roman"/>
          <w:sz w:val="24"/>
          <w:szCs w:val="24"/>
        </w:rPr>
        <w:t xml:space="preserve">. év legfontosabb célkitűzése az alapfeladatok (tűzoltás és műszaki mentés) </w:t>
      </w:r>
      <w:r w:rsidR="00AB6944">
        <w:rPr>
          <w:rFonts w:ascii="Times New Roman" w:hAnsi="Times New Roman"/>
          <w:sz w:val="24"/>
          <w:szCs w:val="24"/>
        </w:rPr>
        <w:t xml:space="preserve">szakszerű ellátása, továbbá a terület sokoldalú földrajzi és </w:t>
      </w:r>
      <w:r w:rsidRPr="00225508">
        <w:rPr>
          <w:rFonts w:ascii="Times New Roman" w:hAnsi="Times New Roman"/>
          <w:sz w:val="24"/>
          <w:szCs w:val="24"/>
        </w:rPr>
        <w:t>infrastrukturális adottságaiból fakadó katasztrófavédelmi feladatok maradéktalan biztosítása volt.</w:t>
      </w:r>
      <w:r>
        <w:rPr>
          <w:rFonts w:ascii="Times New Roman" w:hAnsi="Times New Roman"/>
          <w:sz w:val="24"/>
          <w:szCs w:val="24"/>
        </w:rPr>
        <w:t xml:space="preserve"> </w:t>
      </w:r>
      <w:r w:rsidR="005F02B7" w:rsidRPr="005F02B7">
        <w:rPr>
          <w:rFonts w:ascii="Times New Roman" w:hAnsi="Times New Roman"/>
          <w:sz w:val="24"/>
          <w:szCs w:val="24"/>
        </w:rPr>
        <w:t>Kiemelt figyelmet fordítottunk a prevenciós tevékenység tervszerű végrehajtására.</w:t>
      </w:r>
    </w:p>
    <w:p w14:paraId="1E995F29" w14:textId="5E95D69C" w:rsidR="00D12EC4" w:rsidRPr="002174A4" w:rsidRDefault="00D12EC4" w:rsidP="002174A4">
      <w:pPr>
        <w:pStyle w:val="Cmsor1"/>
        <w:spacing w:before="240" w:after="240"/>
        <w:jc w:val="both"/>
        <w:rPr>
          <w:b/>
        </w:rPr>
      </w:pPr>
      <w:bookmarkStart w:id="4" w:name="_Toc535572338"/>
      <w:bookmarkStart w:id="5" w:name="_Toc194919345"/>
      <w:r w:rsidRPr="002174A4">
        <w:rPr>
          <w:b/>
        </w:rPr>
        <w:t>II. AZ ELVÉGZETT FELADATOK, MEGTETT INTÉZKEDÉSEK</w:t>
      </w:r>
      <w:bookmarkEnd w:id="4"/>
      <w:bookmarkEnd w:id="5"/>
    </w:p>
    <w:p w14:paraId="1A80A543" w14:textId="77777777" w:rsidR="00183508" w:rsidRDefault="008444E0" w:rsidP="004D338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40190325"/>
      <w:bookmarkEnd w:id="6"/>
      <w:r w:rsidRPr="00225508">
        <w:rPr>
          <w:rFonts w:ascii="Times New Roman" w:hAnsi="Times New Roman"/>
          <w:sz w:val="24"/>
          <w:szCs w:val="24"/>
        </w:rPr>
        <w:t xml:space="preserve">A </w:t>
      </w:r>
      <w:r w:rsidR="004D338E">
        <w:rPr>
          <w:rFonts w:ascii="Times New Roman" w:hAnsi="Times New Roman"/>
          <w:sz w:val="24"/>
          <w:szCs w:val="24"/>
        </w:rPr>
        <w:t>tárgy</w:t>
      </w:r>
      <w:r w:rsidRPr="00225508">
        <w:rPr>
          <w:rFonts w:ascii="Times New Roman" w:hAnsi="Times New Roman"/>
          <w:sz w:val="24"/>
          <w:szCs w:val="24"/>
        </w:rPr>
        <w:t xml:space="preserve">évre </w:t>
      </w:r>
      <w:r w:rsidR="004D338E">
        <w:rPr>
          <w:rFonts w:ascii="Times New Roman" w:hAnsi="Times New Roman"/>
          <w:sz w:val="24"/>
          <w:szCs w:val="24"/>
        </w:rPr>
        <w:t xml:space="preserve">kitűzött céljainkat teljesítettük. </w:t>
      </w:r>
      <w:r w:rsidR="00183508">
        <w:rPr>
          <w:rFonts w:ascii="Times New Roman" w:hAnsi="Times New Roman"/>
          <w:sz w:val="24"/>
          <w:szCs w:val="24"/>
        </w:rPr>
        <w:t>S</w:t>
      </w:r>
      <w:r w:rsidR="004D338E">
        <w:rPr>
          <w:rFonts w:ascii="Times New Roman" w:hAnsi="Times New Roman"/>
          <w:sz w:val="24"/>
          <w:szCs w:val="24"/>
        </w:rPr>
        <w:t xml:space="preserve">zavatoltuk az állampolgárok biztonságát. A </w:t>
      </w:r>
      <w:r w:rsidRPr="00225508">
        <w:rPr>
          <w:rFonts w:ascii="Times New Roman" w:hAnsi="Times New Roman"/>
          <w:sz w:val="24"/>
          <w:szCs w:val="24"/>
        </w:rPr>
        <w:t>20</w:t>
      </w:r>
      <w:r w:rsidR="000029B0">
        <w:rPr>
          <w:rFonts w:ascii="Times New Roman" w:hAnsi="Times New Roman"/>
          <w:sz w:val="24"/>
          <w:szCs w:val="24"/>
        </w:rPr>
        <w:t>24</w:t>
      </w:r>
      <w:r w:rsidR="00B9562E">
        <w:rPr>
          <w:rFonts w:ascii="Times New Roman" w:hAnsi="Times New Roman"/>
          <w:sz w:val="24"/>
          <w:szCs w:val="24"/>
        </w:rPr>
        <w:t>. év</w:t>
      </w:r>
      <w:r w:rsidRPr="00225508">
        <w:rPr>
          <w:rFonts w:ascii="Times New Roman" w:hAnsi="Times New Roman"/>
          <w:sz w:val="24"/>
          <w:szCs w:val="24"/>
        </w:rPr>
        <w:t xml:space="preserve"> az alapfeladatok ellátása mellett, a megelőzés, a felkészülés éve volt. </w:t>
      </w:r>
    </w:p>
    <w:p w14:paraId="3422B8AE" w14:textId="21492FD2" w:rsidR="008444E0" w:rsidRDefault="0052706E" w:rsidP="004D338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33D4C">
        <w:rPr>
          <w:rFonts w:ascii="Times New Roman" w:hAnsi="Times New Roman"/>
          <w:sz w:val="24"/>
          <w:szCs w:val="24"/>
        </w:rPr>
        <w:t>A</w:t>
      </w:r>
      <w:r w:rsidR="00183508" w:rsidRPr="00033D4C">
        <w:rPr>
          <w:rFonts w:ascii="Times New Roman" w:hAnsi="Times New Roman"/>
          <w:sz w:val="24"/>
          <w:szCs w:val="24"/>
        </w:rPr>
        <w:t>z állomány továbbképzése az előírásoknak</w:t>
      </w:r>
      <w:r w:rsidR="00FC4A9F">
        <w:rPr>
          <w:rFonts w:ascii="Times New Roman" w:hAnsi="Times New Roman"/>
          <w:sz w:val="24"/>
          <w:szCs w:val="24"/>
        </w:rPr>
        <w:t xml:space="preserve"> megfelelően folyamatos. Az </w:t>
      </w:r>
      <w:r w:rsidR="008444E0" w:rsidRPr="00033D4C">
        <w:rPr>
          <w:rFonts w:ascii="Times New Roman" w:hAnsi="Times New Roman"/>
          <w:sz w:val="24"/>
          <w:szCs w:val="24"/>
        </w:rPr>
        <w:t>oktatások keretén belül felkészült</w:t>
      </w:r>
      <w:r w:rsidR="00FC4A9F">
        <w:rPr>
          <w:rFonts w:ascii="Times New Roman" w:hAnsi="Times New Roman"/>
          <w:sz w:val="24"/>
          <w:szCs w:val="24"/>
        </w:rPr>
        <w:t>ünk</w:t>
      </w:r>
      <w:r w:rsidR="008444E0" w:rsidRPr="00033D4C">
        <w:rPr>
          <w:rFonts w:ascii="Times New Roman" w:hAnsi="Times New Roman"/>
          <w:sz w:val="24"/>
          <w:szCs w:val="24"/>
        </w:rPr>
        <w:t xml:space="preserve"> a tűzoltási és műszaki mentési feladatok felszámolására, a katasztrófák okozta károk elhárítására. A jogszabályi változásokat az állomány minden tagja nyomon követi, a szükséges ismereteket elsajátítja. A</w:t>
      </w:r>
      <w:r w:rsidR="00FC4A9F">
        <w:rPr>
          <w:rFonts w:ascii="Times New Roman" w:hAnsi="Times New Roman"/>
          <w:sz w:val="24"/>
          <w:szCs w:val="24"/>
        </w:rPr>
        <w:t xml:space="preserve"> fizikai állóképesség</w:t>
      </w:r>
      <w:r w:rsidR="008444E0" w:rsidRPr="00033D4C">
        <w:rPr>
          <w:rFonts w:ascii="Times New Roman" w:hAnsi="Times New Roman"/>
          <w:sz w:val="24"/>
          <w:szCs w:val="24"/>
        </w:rPr>
        <w:t xml:space="preserve"> átlagon felüli, </w:t>
      </w:r>
      <w:r w:rsidRPr="00033D4C">
        <w:rPr>
          <w:rFonts w:ascii="Times New Roman" w:hAnsi="Times New Roman"/>
          <w:sz w:val="24"/>
          <w:szCs w:val="24"/>
        </w:rPr>
        <w:t>a</w:t>
      </w:r>
      <w:r w:rsidR="008444E0" w:rsidRPr="00033D4C">
        <w:rPr>
          <w:rFonts w:ascii="Times New Roman" w:hAnsi="Times New Roman"/>
          <w:sz w:val="24"/>
          <w:szCs w:val="24"/>
        </w:rPr>
        <w:t xml:space="preserve">melyet a </w:t>
      </w:r>
      <w:r w:rsidR="00AB6944" w:rsidRPr="00033D4C">
        <w:rPr>
          <w:rFonts w:ascii="Times New Roman" w:hAnsi="Times New Roman"/>
          <w:sz w:val="24"/>
          <w:szCs w:val="24"/>
        </w:rPr>
        <w:t>vár</w:t>
      </w:r>
      <w:r w:rsidR="008444E0" w:rsidRPr="00033D4C">
        <w:rPr>
          <w:rFonts w:ascii="Times New Roman" w:hAnsi="Times New Roman"/>
          <w:sz w:val="24"/>
          <w:szCs w:val="24"/>
        </w:rPr>
        <w:t xml:space="preserve">megyei és országos rendezésű versenyeken történő kimagasló szereplés is bizonyít. A </w:t>
      </w:r>
      <w:r w:rsidR="009F76E9" w:rsidRPr="00033D4C">
        <w:rPr>
          <w:rFonts w:ascii="Times New Roman" w:hAnsi="Times New Roman"/>
          <w:sz w:val="24"/>
          <w:szCs w:val="24"/>
        </w:rPr>
        <w:t>fejlődéshez és a szinten tartás</w:t>
      </w:r>
      <w:r w:rsidR="008444E0" w:rsidRPr="00033D4C">
        <w:rPr>
          <w:rFonts w:ascii="Times New Roman" w:hAnsi="Times New Roman"/>
          <w:sz w:val="24"/>
          <w:szCs w:val="24"/>
        </w:rPr>
        <w:t>hoz szükséges felszerelések, eszközök biztosítottak. A szakmai és sport versenyeken a kitűzött célokat az állomány teljesítette. A tervezett rendezvényeinket megtartottuk.</w:t>
      </w:r>
    </w:p>
    <w:p w14:paraId="33E1F442" w14:textId="65908BE3" w:rsidR="00916597" w:rsidRPr="007925AA" w:rsidRDefault="00183508" w:rsidP="00D12EC4">
      <w:pPr>
        <w:pStyle w:val="Cmsor1"/>
        <w:spacing w:before="100" w:beforeAutospacing="1" w:after="100" w:afterAutospacing="1"/>
        <w:rPr>
          <w:b/>
        </w:rPr>
      </w:pPr>
      <w:bookmarkStart w:id="7" w:name="_Toc194919346"/>
      <w:r>
        <w:rPr>
          <w:b/>
        </w:rPr>
        <w:t>Tűzoltás,</w:t>
      </w:r>
      <w:r w:rsidR="00916597" w:rsidRPr="00E53890">
        <w:rPr>
          <w:b/>
        </w:rPr>
        <w:t xml:space="preserve"> műszaki mentési tevékenység</w:t>
      </w:r>
      <w:bookmarkEnd w:id="7"/>
    </w:p>
    <w:p w14:paraId="46A8522D" w14:textId="647C4640" w:rsidR="00786A48" w:rsidRDefault="00786A48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5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225508">
        <w:rPr>
          <w:rFonts w:ascii="Times New Roman" w:hAnsi="Times New Roman"/>
          <w:sz w:val="24"/>
          <w:szCs w:val="24"/>
        </w:rPr>
        <w:t>. évben a HTP készenléti szolgálatot ellátó állománya, tűzoltási és műszaki mentési tevékenységét a hatályos jogszabályok, szabályzatok előírásait betar</w:t>
      </w:r>
      <w:r w:rsidR="00183508">
        <w:rPr>
          <w:rFonts w:ascii="Times New Roman" w:hAnsi="Times New Roman"/>
          <w:sz w:val="24"/>
          <w:szCs w:val="24"/>
        </w:rPr>
        <w:t xml:space="preserve">tva végezte, eleget téve </w:t>
      </w:r>
      <w:r w:rsidRPr="00225508">
        <w:rPr>
          <w:rFonts w:ascii="Times New Roman" w:hAnsi="Times New Roman"/>
          <w:sz w:val="24"/>
          <w:szCs w:val="24"/>
        </w:rPr>
        <w:t>a lakosság elvárásainak.</w:t>
      </w:r>
      <w:r w:rsidR="0019176D">
        <w:rPr>
          <w:rFonts w:ascii="Times New Roman" w:hAnsi="Times New Roman"/>
          <w:sz w:val="24"/>
          <w:szCs w:val="24"/>
        </w:rPr>
        <w:t xml:space="preserve"> </w:t>
      </w:r>
      <w:r w:rsidRPr="00225508">
        <w:rPr>
          <w:rFonts w:ascii="Times New Roman" w:hAnsi="Times New Roman"/>
          <w:sz w:val="24"/>
          <w:szCs w:val="24"/>
        </w:rPr>
        <w:t xml:space="preserve">A </w:t>
      </w:r>
      <w:r w:rsidR="007325AD">
        <w:rPr>
          <w:rFonts w:ascii="Times New Roman" w:hAnsi="Times New Roman"/>
          <w:sz w:val="24"/>
          <w:szCs w:val="24"/>
        </w:rPr>
        <w:t>káreseteket</w:t>
      </w:r>
      <w:r w:rsidRPr="00225508">
        <w:rPr>
          <w:rFonts w:ascii="Times New Roman" w:hAnsi="Times New Roman"/>
          <w:sz w:val="24"/>
          <w:szCs w:val="24"/>
        </w:rPr>
        <w:t xml:space="preserve"> haladéktalanul, a legjobb tudása szerint </w:t>
      </w:r>
      <w:r w:rsidR="007325AD">
        <w:rPr>
          <w:rFonts w:ascii="Times New Roman" w:hAnsi="Times New Roman"/>
          <w:sz w:val="24"/>
          <w:szCs w:val="24"/>
        </w:rPr>
        <w:t>felszámolta</w:t>
      </w:r>
      <w:r w:rsidRPr="00225508">
        <w:rPr>
          <w:rFonts w:ascii="Times New Roman" w:hAnsi="Times New Roman"/>
          <w:sz w:val="24"/>
          <w:szCs w:val="24"/>
        </w:rPr>
        <w:t xml:space="preserve">, a beérkezett visszajelzések alapján az állampolgárok megelégedésére. </w:t>
      </w:r>
    </w:p>
    <w:p w14:paraId="705AAEB7" w14:textId="77777777" w:rsidR="001C61AD" w:rsidRDefault="001C61AD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6CCB6" w14:textId="698C6285" w:rsidR="0019176D" w:rsidRDefault="001C61AD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508">
        <w:rPr>
          <w:rFonts w:ascii="Times New Roman" w:hAnsi="Times New Roman"/>
          <w:sz w:val="24"/>
          <w:szCs w:val="24"/>
        </w:rPr>
        <w:t>A</w:t>
      </w:r>
      <w:r w:rsidR="007325AD">
        <w:rPr>
          <w:rFonts w:ascii="Times New Roman" w:hAnsi="Times New Roman"/>
          <w:sz w:val="24"/>
          <w:szCs w:val="24"/>
        </w:rPr>
        <w:t>z állomány</w:t>
      </w:r>
      <w:r w:rsidR="00923F57" w:rsidRPr="00923F57">
        <w:rPr>
          <w:rFonts w:ascii="Times New Roman" w:hAnsi="Times New Roman"/>
          <w:sz w:val="24"/>
          <w:szCs w:val="24"/>
        </w:rPr>
        <w:t xml:space="preserve"> </w:t>
      </w:r>
      <w:r w:rsidR="00923F57">
        <w:rPr>
          <w:rFonts w:ascii="Times New Roman" w:hAnsi="Times New Roman"/>
          <w:sz w:val="24"/>
          <w:szCs w:val="24"/>
        </w:rPr>
        <w:t xml:space="preserve">a </w:t>
      </w:r>
      <w:r w:rsidR="00923F57" w:rsidRPr="00225508">
        <w:rPr>
          <w:rFonts w:ascii="Times New Roman" w:hAnsi="Times New Roman"/>
          <w:sz w:val="24"/>
          <w:szCs w:val="24"/>
        </w:rPr>
        <w:t>szakmai elvárásoknak megfelelőe</w:t>
      </w:r>
      <w:r w:rsidR="00923F57">
        <w:rPr>
          <w:rFonts w:ascii="Times New Roman" w:hAnsi="Times New Roman"/>
          <w:sz w:val="24"/>
          <w:szCs w:val="24"/>
        </w:rPr>
        <w:t>n, magas színvonalon</w:t>
      </w:r>
      <w:r w:rsidR="007325AD">
        <w:rPr>
          <w:rFonts w:ascii="Times New Roman" w:hAnsi="Times New Roman"/>
          <w:sz w:val="24"/>
          <w:szCs w:val="24"/>
        </w:rPr>
        <w:t xml:space="preserve"> </w:t>
      </w:r>
      <w:r w:rsidR="00923F57">
        <w:rPr>
          <w:rFonts w:ascii="Times New Roman" w:hAnsi="Times New Roman"/>
          <w:sz w:val="24"/>
          <w:szCs w:val="24"/>
        </w:rPr>
        <w:t xml:space="preserve">teljesítette feladatait. A </w:t>
      </w:r>
      <w:r w:rsidR="007325AD">
        <w:rPr>
          <w:rFonts w:ascii="Times New Roman" w:hAnsi="Times New Roman"/>
          <w:sz w:val="24"/>
          <w:szCs w:val="24"/>
        </w:rPr>
        <w:t xml:space="preserve">parancsnokok </w:t>
      </w:r>
      <w:r w:rsidRPr="00225508">
        <w:rPr>
          <w:rFonts w:ascii="Times New Roman" w:hAnsi="Times New Roman"/>
          <w:sz w:val="24"/>
          <w:szCs w:val="24"/>
        </w:rPr>
        <w:t>a tevékenység irán</w:t>
      </w:r>
      <w:r w:rsidR="00923F57">
        <w:rPr>
          <w:rFonts w:ascii="Times New Roman" w:hAnsi="Times New Roman"/>
          <w:sz w:val="24"/>
          <w:szCs w:val="24"/>
        </w:rPr>
        <w:t>yítása</w:t>
      </w:r>
      <w:r w:rsidRPr="00225508">
        <w:rPr>
          <w:rFonts w:ascii="Times New Roman" w:hAnsi="Times New Roman"/>
          <w:sz w:val="24"/>
          <w:szCs w:val="24"/>
        </w:rPr>
        <w:t xml:space="preserve"> és a szolgálatszervezési feladatok </w:t>
      </w:r>
      <w:r w:rsidR="00923F57">
        <w:rPr>
          <w:rFonts w:ascii="Times New Roman" w:hAnsi="Times New Roman"/>
          <w:sz w:val="24"/>
          <w:szCs w:val="24"/>
        </w:rPr>
        <w:t>során</w:t>
      </w:r>
      <w:r w:rsidRPr="00225508">
        <w:rPr>
          <w:rFonts w:ascii="Times New Roman" w:hAnsi="Times New Roman"/>
          <w:sz w:val="24"/>
          <w:szCs w:val="24"/>
        </w:rPr>
        <w:t xml:space="preserve"> </w:t>
      </w:r>
      <w:r w:rsidR="00923F57">
        <w:rPr>
          <w:rFonts w:ascii="Times New Roman" w:hAnsi="Times New Roman"/>
          <w:sz w:val="24"/>
          <w:szCs w:val="24"/>
        </w:rPr>
        <w:t xml:space="preserve">biztosították a szakszerű végrehajtást. </w:t>
      </w:r>
      <w:r w:rsidRPr="00225508">
        <w:rPr>
          <w:rFonts w:ascii="Times New Roman" w:hAnsi="Times New Roman"/>
          <w:sz w:val="24"/>
          <w:szCs w:val="24"/>
        </w:rPr>
        <w:t xml:space="preserve">Az eseményekhez történő kivonulásnál a riasztási fokozatok </w:t>
      </w:r>
      <w:r w:rsidR="00923F57">
        <w:rPr>
          <w:rFonts w:ascii="Times New Roman" w:hAnsi="Times New Roman"/>
          <w:sz w:val="24"/>
          <w:szCs w:val="24"/>
        </w:rPr>
        <w:t>helyes megválasztásával</w:t>
      </w:r>
      <w:r w:rsidRPr="00225508">
        <w:rPr>
          <w:rFonts w:ascii="Times New Roman" w:hAnsi="Times New Roman"/>
          <w:sz w:val="24"/>
          <w:szCs w:val="24"/>
        </w:rPr>
        <w:t xml:space="preserve"> a beavatkozásokat gyorsan és szakszerűen hajtotta végre</w:t>
      </w:r>
      <w:r w:rsidR="00923F57">
        <w:rPr>
          <w:rFonts w:ascii="Times New Roman" w:hAnsi="Times New Roman"/>
          <w:sz w:val="24"/>
          <w:szCs w:val="24"/>
        </w:rPr>
        <w:t xml:space="preserve"> az állomány</w:t>
      </w:r>
      <w:r w:rsidRPr="00225508">
        <w:rPr>
          <w:rFonts w:ascii="Times New Roman" w:hAnsi="Times New Roman"/>
          <w:sz w:val="24"/>
          <w:szCs w:val="24"/>
        </w:rPr>
        <w:t>.</w:t>
      </w:r>
    </w:p>
    <w:p w14:paraId="181576AE" w14:textId="77777777" w:rsidR="001C61AD" w:rsidRDefault="001C61AD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CAD2F" w14:textId="710202DF" w:rsidR="001C61AD" w:rsidRDefault="001C61AD" w:rsidP="001C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0DF">
        <w:rPr>
          <w:rFonts w:ascii="Times New Roman" w:hAnsi="Times New Roman"/>
          <w:sz w:val="24"/>
          <w:szCs w:val="24"/>
        </w:rPr>
        <w:t xml:space="preserve">Az állomány egyéni védőeszközzel, védőfelszereléssel való ellátottsága </w:t>
      </w:r>
      <w:r w:rsidR="00923F57">
        <w:rPr>
          <w:rFonts w:ascii="Times New Roman" w:hAnsi="Times New Roman"/>
          <w:sz w:val="24"/>
          <w:szCs w:val="24"/>
        </w:rPr>
        <w:t xml:space="preserve">a </w:t>
      </w:r>
      <w:r w:rsidRPr="003D00D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D00DF">
        <w:rPr>
          <w:rFonts w:ascii="Times New Roman" w:hAnsi="Times New Roman"/>
          <w:sz w:val="24"/>
          <w:szCs w:val="24"/>
        </w:rPr>
        <w:t xml:space="preserve">. évben </w:t>
      </w:r>
      <w:r w:rsidR="00923F57">
        <w:rPr>
          <w:rFonts w:ascii="Times New Roman" w:hAnsi="Times New Roman"/>
          <w:sz w:val="24"/>
          <w:szCs w:val="24"/>
        </w:rPr>
        <w:t xml:space="preserve">is </w:t>
      </w:r>
      <w:r w:rsidRPr="003D00DF">
        <w:rPr>
          <w:rFonts w:ascii="Times New Roman" w:hAnsi="Times New Roman"/>
          <w:sz w:val="24"/>
          <w:szCs w:val="24"/>
        </w:rPr>
        <w:t>biztosított volt. Az állomány rendelkezik az egészséget nem veszélyeztető, biztonságos munkavégzéshez szükséges e</w:t>
      </w:r>
      <w:r w:rsidR="009F76E9">
        <w:rPr>
          <w:rFonts w:ascii="Times New Roman" w:hAnsi="Times New Roman"/>
          <w:sz w:val="24"/>
          <w:szCs w:val="24"/>
        </w:rPr>
        <w:t>szközökkel, felszerelésekkel. A</w:t>
      </w:r>
      <w:r w:rsidRPr="003D00DF">
        <w:rPr>
          <w:rFonts w:ascii="Times New Roman" w:hAnsi="Times New Roman"/>
          <w:sz w:val="24"/>
          <w:szCs w:val="24"/>
        </w:rPr>
        <w:t xml:space="preserve"> védőeszközök, felszerelések, a különböző technikai eszközök felülvizsgálata megtörtént. Az elhasználódott, beavatkozások és gyakorlatok során megsérült egyéni és csapat védőeszközök utánpótlására </w:t>
      </w:r>
      <w:r w:rsidR="00923F57">
        <w:rPr>
          <w:rFonts w:ascii="Times New Roman" w:hAnsi="Times New Roman"/>
          <w:sz w:val="24"/>
          <w:szCs w:val="24"/>
        </w:rPr>
        <w:t>intézkedtünk</w:t>
      </w:r>
      <w:r w:rsidRPr="003D00DF">
        <w:rPr>
          <w:rFonts w:ascii="Times New Roman" w:hAnsi="Times New Roman"/>
          <w:sz w:val="24"/>
          <w:szCs w:val="24"/>
        </w:rPr>
        <w:t>.</w:t>
      </w:r>
    </w:p>
    <w:p w14:paraId="0FBC565F" w14:textId="77777777" w:rsidR="00FC4A9F" w:rsidRPr="003D00DF" w:rsidRDefault="00FC4A9F" w:rsidP="001C6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FE7B9" w14:textId="77777777" w:rsidR="001C61AD" w:rsidRDefault="001C61AD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25467" w14:textId="748F14EB" w:rsidR="001C61AD" w:rsidRPr="0052706E" w:rsidRDefault="00261CDB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lastRenderedPageBreak/>
        <w:t xml:space="preserve">Az Érd HTP működési területén </w:t>
      </w:r>
      <w:r w:rsidRPr="00E373F6">
        <w:rPr>
          <w:rFonts w:ascii="Times New Roman" w:hAnsi="Times New Roman"/>
          <w:b/>
          <w:sz w:val="24"/>
          <w:szCs w:val="24"/>
        </w:rPr>
        <w:t>1</w:t>
      </w:r>
      <w:r w:rsidR="00923F57">
        <w:rPr>
          <w:rFonts w:ascii="Times New Roman" w:hAnsi="Times New Roman"/>
          <w:b/>
          <w:sz w:val="24"/>
          <w:szCs w:val="24"/>
        </w:rPr>
        <w:t>.</w:t>
      </w:r>
      <w:r w:rsidRPr="00E373F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31</w:t>
      </w:r>
      <w:r w:rsidRPr="00E373F6">
        <w:rPr>
          <w:rFonts w:ascii="Times New Roman" w:hAnsi="Times New Roman"/>
          <w:b/>
          <w:sz w:val="24"/>
          <w:szCs w:val="24"/>
        </w:rPr>
        <w:t xml:space="preserve"> </w:t>
      </w:r>
      <w:r w:rsidRPr="00E373F6">
        <w:rPr>
          <w:rFonts w:ascii="Times New Roman" w:hAnsi="Times New Roman"/>
          <w:sz w:val="24"/>
          <w:szCs w:val="24"/>
        </w:rPr>
        <w:t xml:space="preserve">riasztás történt, ebből </w:t>
      </w:r>
      <w:r>
        <w:rPr>
          <w:rFonts w:ascii="Times New Roman" w:hAnsi="Times New Roman"/>
          <w:b/>
          <w:sz w:val="24"/>
          <w:szCs w:val="24"/>
        </w:rPr>
        <w:t>882</w:t>
      </w:r>
      <w:r w:rsidRPr="00E373F6">
        <w:rPr>
          <w:rFonts w:ascii="Times New Roman" w:hAnsi="Times New Roman"/>
          <w:sz w:val="24"/>
          <w:szCs w:val="24"/>
        </w:rPr>
        <w:t xml:space="preserve"> beavatkozást igénylő esemény volt. </w:t>
      </w:r>
      <w:r w:rsidR="005B5A97" w:rsidRPr="0052706E">
        <w:rPr>
          <w:rFonts w:ascii="Times New Roman" w:hAnsi="Times New Roman"/>
          <w:b/>
          <w:bCs/>
          <w:sz w:val="24"/>
          <w:szCs w:val="24"/>
        </w:rPr>
        <w:t xml:space="preserve">294 tűzesetnél és 588 műszaki mentésnél </w:t>
      </w:r>
      <w:r w:rsidR="005B5A97">
        <w:rPr>
          <w:rFonts w:ascii="Times New Roman" w:hAnsi="Times New Roman"/>
          <w:bCs/>
          <w:sz w:val="24"/>
          <w:szCs w:val="24"/>
        </w:rPr>
        <w:t>avatkozott be az állomány</w:t>
      </w:r>
      <w:r w:rsidR="005B5A97" w:rsidRPr="003D00DF">
        <w:rPr>
          <w:rFonts w:ascii="Times New Roman" w:hAnsi="Times New Roman"/>
          <w:bCs/>
          <w:sz w:val="24"/>
          <w:szCs w:val="24"/>
        </w:rPr>
        <w:t xml:space="preserve">. Ezek közül </w:t>
      </w:r>
      <w:r w:rsidR="005B5A97">
        <w:rPr>
          <w:rFonts w:ascii="Times New Roman" w:hAnsi="Times New Roman"/>
          <w:bCs/>
          <w:sz w:val="24"/>
          <w:szCs w:val="24"/>
        </w:rPr>
        <w:t>k</w:t>
      </w:r>
      <w:r w:rsidR="0052706E">
        <w:rPr>
          <w:rFonts w:ascii="Times New Roman" w:hAnsi="Times New Roman"/>
          <w:bCs/>
          <w:sz w:val="24"/>
          <w:szCs w:val="24"/>
        </w:rPr>
        <w:t>iérkezés előtt felszámolt 143 eset</w:t>
      </w:r>
      <w:r w:rsidR="005B5A97">
        <w:rPr>
          <w:rFonts w:ascii="Times New Roman" w:hAnsi="Times New Roman"/>
          <w:bCs/>
          <w:sz w:val="24"/>
          <w:szCs w:val="24"/>
        </w:rPr>
        <w:t xml:space="preserve">, 499 </w:t>
      </w:r>
      <w:r w:rsidR="005B5A97" w:rsidRPr="003D00DF">
        <w:rPr>
          <w:rFonts w:ascii="Times New Roman" w:hAnsi="Times New Roman"/>
          <w:bCs/>
          <w:sz w:val="24"/>
          <w:szCs w:val="24"/>
        </w:rPr>
        <w:t xml:space="preserve">téves jelzés, szándékosan megtévesztő jelzés </w:t>
      </w:r>
      <w:r w:rsidR="005B5A97">
        <w:rPr>
          <w:rFonts w:ascii="Times New Roman" w:hAnsi="Times New Roman"/>
          <w:bCs/>
          <w:sz w:val="24"/>
          <w:szCs w:val="24"/>
        </w:rPr>
        <w:t xml:space="preserve">3 </w:t>
      </w:r>
      <w:r w:rsidR="0052706E">
        <w:rPr>
          <w:rFonts w:ascii="Times New Roman" w:hAnsi="Times New Roman"/>
          <w:bCs/>
          <w:sz w:val="24"/>
          <w:szCs w:val="24"/>
        </w:rPr>
        <w:t>volt</w:t>
      </w:r>
      <w:r w:rsidR="005B5A97" w:rsidRPr="003D00DF">
        <w:rPr>
          <w:rFonts w:ascii="Times New Roman" w:hAnsi="Times New Roman"/>
          <w:bCs/>
          <w:sz w:val="24"/>
          <w:szCs w:val="24"/>
        </w:rPr>
        <w:t xml:space="preserve">, valamint </w:t>
      </w:r>
      <w:r w:rsidR="0052706E">
        <w:rPr>
          <w:rFonts w:ascii="Times New Roman" w:hAnsi="Times New Roman"/>
          <w:bCs/>
          <w:sz w:val="24"/>
          <w:szCs w:val="24"/>
        </w:rPr>
        <w:t xml:space="preserve">az ügyeletre négyszer </w:t>
      </w:r>
      <w:r w:rsidR="005B5A97" w:rsidRPr="003D00DF">
        <w:rPr>
          <w:rFonts w:ascii="Times New Roman" w:hAnsi="Times New Roman"/>
          <w:bCs/>
          <w:sz w:val="24"/>
          <w:szCs w:val="24"/>
        </w:rPr>
        <w:t xml:space="preserve">jelentettek be utólagosan tűzesetet. </w:t>
      </w:r>
      <w:r w:rsidR="005B5A97">
        <w:rPr>
          <w:rFonts w:ascii="Times New Roman" w:hAnsi="Times New Roman"/>
          <w:bCs/>
          <w:sz w:val="24"/>
          <w:szCs w:val="24"/>
        </w:rPr>
        <w:t>14</w:t>
      </w:r>
      <w:r w:rsidR="005B5A97" w:rsidRPr="00971F01">
        <w:rPr>
          <w:rFonts w:ascii="Times New Roman" w:hAnsi="Times New Roman"/>
          <w:bCs/>
          <w:sz w:val="24"/>
          <w:szCs w:val="24"/>
        </w:rPr>
        <w:t xml:space="preserve"> tűzvizsgálati eljárás</w:t>
      </w:r>
      <w:r w:rsidR="0052706E">
        <w:rPr>
          <w:rFonts w:ascii="Times New Roman" w:hAnsi="Times New Roman"/>
          <w:bCs/>
          <w:sz w:val="24"/>
          <w:szCs w:val="24"/>
        </w:rPr>
        <w:t xml:space="preserve"> indult</w:t>
      </w:r>
      <w:r w:rsidR="005B5A97" w:rsidRPr="00971F01">
        <w:rPr>
          <w:rFonts w:ascii="Times New Roman" w:hAnsi="Times New Roman"/>
          <w:bCs/>
          <w:sz w:val="24"/>
          <w:szCs w:val="24"/>
        </w:rPr>
        <w:t>.</w:t>
      </w:r>
    </w:p>
    <w:p w14:paraId="73C3EFE0" w14:textId="77777777" w:rsidR="00261CDB" w:rsidRDefault="00261CDB" w:rsidP="00786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148894" w14:textId="279BAF3F" w:rsidR="00641E46" w:rsidRDefault="00AB2A3E" w:rsidP="00641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A9ECBD2" wp14:editId="734C4610">
            <wp:extent cx="5159829" cy="1591294"/>
            <wp:effectExtent l="0" t="0" r="3175" b="9525"/>
            <wp:docPr id="439637057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B59146-8A28-3E1B-0CE4-F48E91B76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CFBC8A" w14:textId="77777777" w:rsidR="00641E46" w:rsidRPr="00B83BBE" w:rsidRDefault="00641E46" w:rsidP="00641E46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 xml:space="preserve">Események megoszlása éves bontásban </w:t>
      </w:r>
    </w:p>
    <w:p w14:paraId="6A809BD9" w14:textId="77777777" w:rsidR="00641E46" w:rsidRPr="00971F01" w:rsidRDefault="00641E46" w:rsidP="00641E46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</w:t>
      </w:r>
      <w:r>
        <w:rPr>
          <w:rFonts w:ascii="Times New Roman" w:hAnsi="Times New Roman"/>
          <w:i/>
          <w:sz w:val="16"/>
          <w:szCs w:val="16"/>
        </w:rPr>
        <w:t>: saját adat</w:t>
      </w:r>
    </w:p>
    <w:p w14:paraId="64299FC9" w14:textId="77777777" w:rsidR="00AB2A3E" w:rsidRDefault="00AB2A3E" w:rsidP="00AB2A3E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540"/>
        <w:gridCol w:w="1120"/>
        <w:gridCol w:w="1440"/>
        <w:gridCol w:w="960"/>
        <w:gridCol w:w="960"/>
      </w:tblGrid>
      <w:tr w:rsidR="00AB2A3E" w:rsidRPr="00AB2A3E" w14:paraId="7A6DC480" w14:textId="77777777" w:rsidTr="00C971A6">
        <w:trPr>
          <w:trHeight w:val="3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10C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Esemény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FDC" w14:textId="30226BD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2020</w:t>
            </w:r>
            <w:r w:rsidR="00527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757" w14:textId="338FE34F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2021</w:t>
            </w:r>
            <w:r w:rsidR="00527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E83" w14:textId="32101D20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2022</w:t>
            </w:r>
            <w:r w:rsidR="00527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5D0" w14:textId="2F3A1CC8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2023</w:t>
            </w:r>
            <w:r w:rsidR="00527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6775" w14:textId="636EFB6C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2024</w:t>
            </w:r>
            <w:r w:rsidR="005270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B2A3E" w:rsidRPr="00AB2A3E" w14:paraId="721678B2" w14:textId="77777777" w:rsidTr="003205BB">
        <w:trPr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9E6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Tűzeset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FDF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664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600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883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39C" w14:textId="607CE3EA" w:rsidR="00AB2A3E" w:rsidRPr="003205BB" w:rsidRDefault="003875F4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05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294</w:t>
            </w:r>
          </w:p>
        </w:tc>
      </w:tr>
      <w:tr w:rsidR="00AB2A3E" w:rsidRPr="00AB2A3E" w14:paraId="76DE93A8" w14:textId="77777777" w:rsidTr="003205BB">
        <w:trPr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3C9F" w14:textId="28DCD863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Műszaki</w:t>
            </w:r>
            <w:r w:rsidR="00512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Mentés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98A0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514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785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F8D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657" w14:textId="6BABAB5B" w:rsidR="00AB2A3E" w:rsidRPr="003205BB" w:rsidRDefault="003875F4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05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588</w:t>
            </w:r>
          </w:p>
        </w:tc>
      </w:tr>
      <w:tr w:rsidR="00AB2A3E" w:rsidRPr="00AB2A3E" w14:paraId="6D2C35DD" w14:textId="77777777" w:rsidTr="003205BB">
        <w:trPr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BE2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Összes eseményszám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DA6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D43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2CD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6CE9" w14:textId="77777777" w:rsidR="00AB2A3E" w:rsidRPr="00AB2A3E" w:rsidRDefault="00AB2A3E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B2A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D2A0" w14:textId="3F83699D" w:rsidR="00AB2A3E" w:rsidRPr="003205BB" w:rsidRDefault="003875F4" w:rsidP="00AB2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05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882</w:t>
            </w:r>
          </w:p>
        </w:tc>
      </w:tr>
    </w:tbl>
    <w:p w14:paraId="231B90CD" w14:textId="2BE3E0F3" w:rsidR="00AB2A3E" w:rsidRPr="00B83BBE" w:rsidRDefault="00AB2A3E" w:rsidP="00AB2A3E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738EBB45" w14:textId="77777777" w:rsidR="00AB2A3E" w:rsidRPr="00B83BBE" w:rsidRDefault="00AB2A3E" w:rsidP="00AB2A3E">
      <w:pPr>
        <w:spacing w:after="0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3EB026DD" w14:textId="77777777" w:rsidR="00641E46" w:rsidRDefault="00641E46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060DC" w14:textId="200D16A7" w:rsidR="00641E46" w:rsidRDefault="00641E46" w:rsidP="00641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12AC7BB" wp14:editId="755C5C42">
            <wp:extent cx="5599215" cy="2766951"/>
            <wp:effectExtent l="0" t="0" r="1905" b="14605"/>
            <wp:docPr id="500692084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EE4C64-193C-6A3F-6895-F8F22354A9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D19461" w14:textId="77777777" w:rsidR="00AB2A3E" w:rsidRPr="00B83BBE" w:rsidRDefault="00AB2A3E" w:rsidP="00AB2A3E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543607FB" w14:textId="77777777" w:rsidR="00AB2A3E" w:rsidRPr="00B83BBE" w:rsidRDefault="00AB2A3E" w:rsidP="00AB2A3E">
      <w:pPr>
        <w:spacing w:after="0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667D2293" w14:textId="77777777" w:rsidR="009D0807" w:rsidRDefault="009D0807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B1A4D" w14:textId="1DA003BA" w:rsidR="00641E46" w:rsidRDefault="009D0807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t xml:space="preserve">Az </w:t>
      </w:r>
      <w:r w:rsidR="0052706E">
        <w:rPr>
          <w:rFonts w:ascii="Times New Roman" w:hAnsi="Times New Roman"/>
          <w:sz w:val="24"/>
          <w:szCs w:val="24"/>
        </w:rPr>
        <w:t>előző évhez képest közel azonos</w:t>
      </w:r>
      <w:r>
        <w:rPr>
          <w:rFonts w:ascii="Times New Roman" w:hAnsi="Times New Roman"/>
          <w:sz w:val="24"/>
          <w:szCs w:val="24"/>
        </w:rPr>
        <w:t xml:space="preserve"> </w:t>
      </w:r>
      <w:r w:rsidR="0052706E">
        <w:rPr>
          <w:rFonts w:ascii="Times New Roman" w:hAnsi="Times New Roman"/>
          <w:sz w:val="24"/>
          <w:szCs w:val="24"/>
        </w:rPr>
        <w:t>a beavatkozások száma. A kiérkezés</w:t>
      </w:r>
      <w:r w:rsidR="005770BF">
        <w:rPr>
          <w:rFonts w:ascii="Times New Roman" w:hAnsi="Times New Roman"/>
          <w:sz w:val="24"/>
          <w:szCs w:val="24"/>
        </w:rPr>
        <w:t xml:space="preserve"> előtt felszámolt események </w:t>
      </w:r>
      <w:r w:rsidR="0052706E">
        <w:rPr>
          <w:rFonts w:ascii="Times New Roman" w:hAnsi="Times New Roman"/>
          <w:sz w:val="24"/>
          <w:szCs w:val="24"/>
        </w:rPr>
        <w:t>6</w:t>
      </w:r>
      <w:r w:rsidR="005770BF">
        <w:rPr>
          <w:rFonts w:ascii="Times New Roman" w:hAnsi="Times New Roman"/>
          <w:sz w:val="24"/>
          <w:szCs w:val="24"/>
        </w:rPr>
        <w:t>%</w:t>
      </w:r>
      <w:r w:rsidR="00F1282E">
        <w:rPr>
          <w:rFonts w:ascii="Times New Roman" w:hAnsi="Times New Roman"/>
          <w:sz w:val="24"/>
          <w:szCs w:val="24"/>
        </w:rPr>
        <w:t>-kal</w:t>
      </w:r>
      <w:r w:rsidR="005770BF">
        <w:rPr>
          <w:rFonts w:ascii="Times New Roman" w:hAnsi="Times New Roman"/>
          <w:sz w:val="24"/>
          <w:szCs w:val="24"/>
        </w:rPr>
        <w:t xml:space="preserve"> nő</w:t>
      </w:r>
      <w:r w:rsidR="00F1282E">
        <w:rPr>
          <w:rFonts w:ascii="Times New Roman" w:hAnsi="Times New Roman"/>
          <w:sz w:val="24"/>
          <w:szCs w:val="24"/>
        </w:rPr>
        <w:t>t</w:t>
      </w:r>
      <w:r w:rsidR="005770BF">
        <w:rPr>
          <w:rFonts w:ascii="Times New Roman" w:hAnsi="Times New Roman"/>
          <w:sz w:val="24"/>
          <w:szCs w:val="24"/>
        </w:rPr>
        <w:t>t</w:t>
      </w:r>
      <w:r w:rsidR="0052706E">
        <w:rPr>
          <w:rFonts w:ascii="Times New Roman" w:hAnsi="Times New Roman"/>
          <w:sz w:val="24"/>
          <w:szCs w:val="24"/>
        </w:rPr>
        <w:t>ek</w:t>
      </w:r>
      <w:r w:rsidR="005770BF">
        <w:rPr>
          <w:rFonts w:ascii="Times New Roman" w:hAnsi="Times New Roman"/>
          <w:sz w:val="24"/>
          <w:szCs w:val="24"/>
        </w:rPr>
        <w:t xml:space="preserve">, </w:t>
      </w:r>
      <w:r w:rsidR="0052706E">
        <w:rPr>
          <w:rFonts w:ascii="Times New Roman" w:hAnsi="Times New Roman"/>
          <w:sz w:val="24"/>
          <w:szCs w:val="24"/>
        </w:rPr>
        <w:t xml:space="preserve">az állampolgárok, </w:t>
      </w:r>
      <w:r w:rsidR="005770BF">
        <w:rPr>
          <w:rFonts w:ascii="Times New Roman" w:hAnsi="Times New Roman"/>
          <w:sz w:val="24"/>
          <w:szCs w:val="24"/>
        </w:rPr>
        <w:t>társ</w:t>
      </w:r>
      <w:r w:rsidR="00F1282E">
        <w:rPr>
          <w:rFonts w:ascii="Times New Roman" w:hAnsi="Times New Roman"/>
          <w:sz w:val="24"/>
          <w:szCs w:val="24"/>
        </w:rPr>
        <w:t>s</w:t>
      </w:r>
      <w:r w:rsidR="005770BF">
        <w:rPr>
          <w:rFonts w:ascii="Times New Roman" w:hAnsi="Times New Roman"/>
          <w:sz w:val="24"/>
          <w:szCs w:val="24"/>
        </w:rPr>
        <w:t xml:space="preserve">zervek </w:t>
      </w:r>
      <w:r w:rsidR="0052706E">
        <w:rPr>
          <w:rFonts w:ascii="Times New Roman" w:hAnsi="Times New Roman"/>
          <w:sz w:val="24"/>
          <w:szCs w:val="24"/>
        </w:rPr>
        <w:t xml:space="preserve">közreműködése következtében. </w:t>
      </w:r>
      <w:r w:rsidR="005770BF">
        <w:rPr>
          <w:rFonts w:ascii="Times New Roman" w:hAnsi="Times New Roman"/>
          <w:sz w:val="24"/>
          <w:szCs w:val="24"/>
        </w:rPr>
        <w:t xml:space="preserve"> </w:t>
      </w:r>
      <w:r w:rsidR="0052706E">
        <w:rPr>
          <w:rFonts w:ascii="Times New Roman" w:hAnsi="Times New Roman"/>
          <w:sz w:val="24"/>
          <w:szCs w:val="24"/>
        </w:rPr>
        <w:t>A téves jelzések száma közel 4</w:t>
      </w:r>
      <w:r w:rsidR="005770BF">
        <w:rPr>
          <w:rFonts w:ascii="Times New Roman" w:hAnsi="Times New Roman"/>
          <w:sz w:val="24"/>
          <w:szCs w:val="24"/>
        </w:rPr>
        <w:t>%</w:t>
      </w:r>
      <w:r w:rsidR="00F1282E">
        <w:rPr>
          <w:rFonts w:ascii="Times New Roman" w:hAnsi="Times New Roman"/>
          <w:sz w:val="24"/>
          <w:szCs w:val="24"/>
        </w:rPr>
        <w:t>-kal</w:t>
      </w:r>
      <w:r w:rsidR="005770BF">
        <w:rPr>
          <w:rFonts w:ascii="Times New Roman" w:hAnsi="Times New Roman"/>
          <w:sz w:val="24"/>
          <w:szCs w:val="24"/>
        </w:rPr>
        <w:t xml:space="preserve"> nőt</w:t>
      </w:r>
      <w:r w:rsidR="0052706E">
        <w:rPr>
          <w:rFonts w:ascii="Times New Roman" w:hAnsi="Times New Roman"/>
          <w:sz w:val="24"/>
          <w:szCs w:val="24"/>
        </w:rPr>
        <w:t xml:space="preserve">t. Újként jelentkeztek az </w:t>
      </w:r>
      <w:proofErr w:type="spellStart"/>
      <w:r w:rsidR="0052706E">
        <w:rPr>
          <w:rFonts w:ascii="Times New Roman" w:hAnsi="Times New Roman"/>
          <w:sz w:val="24"/>
          <w:szCs w:val="24"/>
        </w:rPr>
        <w:t>okosórák</w:t>
      </w:r>
      <w:proofErr w:type="spellEnd"/>
      <w:r w:rsidR="005270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550C" w:rsidRPr="003205BB">
        <w:rPr>
          <w:rFonts w:ascii="Times New Roman" w:hAnsi="Times New Roman"/>
          <w:sz w:val="24"/>
          <w:szCs w:val="24"/>
        </w:rPr>
        <w:t>gondosórák</w:t>
      </w:r>
      <w:proofErr w:type="spellEnd"/>
      <w:r w:rsidR="0052706E">
        <w:rPr>
          <w:rFonts w:ascii="Times New Roman" w:hAnsi="Times New Roman"/>
          <w:sz w:val="24"/>
          <w:szCs w:val="24"/>
        </w:rPr>
        <w:t xml:space="preserve"> </w:t>
      </w:r>
      <w:r w:rsidR="005770BF" w:rsidRPr="003205BB">
        <w:rPr>
          <w:rFonts w:ascii="Times New Roman" w:hAnsi="Times New Roman"/>
          <w:sz w:val="24"/>
          <w:szCs w:val="24"/>
        </w:rPr>
        <w:t>jelzései.</w:t>
      </w:r>
    </w:p>
    <w:p w14:paraId="6B3A1B8F" w14:textId="77777777" w:rsidR="003D790C" w:rsidRDefault="003D790C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D40B2" w14:textId="79C12699" w:rsidR="003D790C" w:rsidRDefault="0024570A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284 esetben </w:t>
      </w:r>
      <w:r w:rsidR="0052706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riasztás</w:t>
      </w:r>
      <w:r w:rsidR="0052706E">
        <w:rPr>
          <w:rFonts w:ascii="Times New Roman" w:hAnsi="Times New Roman"/>
          <w:sz w:val="24"/>
          <w:szCs w:val="24"/>
        </w:rPr>
        <w:t xml:space="preserve">t követően a </w:t>
      </w:r>
      <w:r>
        <w:rPr>
          <w:rFonts w:ascii="Times New Roman" w:hAnsi="Times New Roman"/>
          <w:sz w:val="24"/>
          <w:szCs w:val="24"/>
        </w:rPr>
        <w:t>gépjárművek a laktanyát nem hagyták el</w:t>
      </w:r>
      <w:r w:rsidR="0052706E">
        <w:rPr>
          <w:rFonts w:ascii="Times New Roman" w:hAnsi="Times New Roman"/>
          <w:sz w:val="24"/>
          <w:szCs w:val="24"/>
        </w:rPr>
        <w:t>. Ez az adat 14,5</w:t>
      </w:r>
      <w:r>
        <w:rPr>
          <w:rFonts w:ascii="Times New Roman" w:hAnsi="Times New Roman"/>
          <w:sz w:val="24"/>
          <w:szCs w:val="24"/>
        </w:rPr>
        <w:t>%</w:t>
      </w:r>
      <w:r w:rsidR="00F1282E">
        <w:rPr>
          <w:rFonts w:ascii="Times New Roman" w:hAnsi="Times New Roman"/>
          <w:sz w:val="24"/>
          <w:szCs w:val="24"/>
        </w:rPr>
        <w:t>-kal</w:t>
      </w:r>
      <w:r>
        <w:rPr>
          <w:rFonts w:ascii="Times New Roman" w:hAnsi="Times New Roman"/>
          <w:sz w:val="24"/>
          <w:szCs w:val="24"/>
        </w:rPr>
        <w:t xml:space="preserve"> nő</w:t>
      </w:r>
      <w:r w:rsidR="00F1282E">
        <w:rPr>
          <w:rFonts w:ascii="Times New Roman" w:hAnsi="Times New Roman"/>
          <w:sz w:val="24"/>
          <w:szCs w:val="24"/>
        </w:rPr>
        <w:t xml:space="preserve">tt </w:t>
      </w:r>
      <w:r w:rsidR="0052706E">
        <w:rPr>
          <w:rFonts w:ascii="Times New Roman" w:hAnsi="Times New Roman"/>
          <w:sz w:val="24"/>
          <w:szCs w:val="24"/>
        </w:rPr>
        <w:t xml:space="preserve">az előző évhez </w:t>
      </w:r>
      <w:r w:rsidR="00F1282E">
        <w:rPr>
          <w:rFonts w:ascii="Times New Roman" w:hAnsi="Times New Roman"/>
          <w:sz w:val="24"/>
          <w:szCs w:val="24"/>
        </w:rPr>
        <w:t>képest. Legtöbb eset</w:t>
      </w:r>
      <w:r>
        <w:rPr>
          <w:rFonts w:ascii="Times New Roman" w:hAnsi="Times New Roman"/>
          <w:sz w:val="24"/>
          <w:szCs w:val="24"/>
        </w:rPr>
        <w:t xml:space="preserve">ben Érd, Biatorbágy, </w:t>
      </w:r>
      <w:r w:rsidR="004A38AA">
        <w:rPr>
          <w:rFonts w:ascii="Times New Roman" w:hAnsi="Times New Roman"/>
          <w:sz w:val="24"/>
          <w:szCs w:val="24"/>
        </w:rPr>
        <w:t>Budaörs</w:t>
      </w:r>
      <w:r>
        <w:rPr>
          <w:rFonts w:ascii="Times New Roman" w:hAnsi="Times New Roman"/>
          <w:sz w:val="24"/>
          <w:szCs w:val="24"/>
        </w:rPr>
        <w:t>, Törökbálint</w:t>
      </w:r>
      <w:r w:rsidR="00F1282E">
        <w:rPr>
          <w:rFonts w:ascii="Times New Roman" w:hAnsi="Times New Roman"/>
          <w:sz w:val="24"/>
          <w:szCs w:val="24"/>
        </w:rPr>
        <w:t xml:space="preserve"> településen kerül</w:t>
      </w:r>
      <w:r w:rsidR="00DE73B3">
        <w:rPr>
          <w:rFonts w:ascii="Times New Roman" w:hAnsi="Times New Roman"/>
          <w:sz w:val="24"/>
          <w:szCs w:val="24"/>
        </w:rPr>
        <w:t>t lemondásra a jelzés.</w:t>
      </w:r>
    </w:p>
    <w:p w14:paraId="21D183C8" w14:textId="77777777" w:rsidR="00641E46" w:rsidRPr="00225508" w:rsidRDefault="00641E46" w:rsidP="0078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448BE" w14:textId="2649DE93" w:rsidR="00916597" w:rsidRDefault="009776D6" w:rsidP="00DE73B3">
      <w:pPr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t>A</w:t>
      </w:r>
      <w:r w:rsidR="00DE73B3">
        <w:rPr>
          <w:rFonts w:ascii="Times New Roman" w:hAnsi="Times New Roman"/>
          <w:sz w:val="24"/>
          <w:szCs w:val="24"/>
        </w:rPr>
        <w:t xml:space="preserve"> HTP</w:t>
      </w:r>
      <w:r w:rsidR="00916597" w:rsidRPr="00E373F6">
        <w:rPr>
          <w:rFonts w:ascii="Times New Roman" w:hAnsi="Times New Roman"/>
          <w:sz w:val="24"/>
          <w:szCs w:val="24"/>
        </w:rPr>
        <w:t xml:space="preserve"> </w:t>
      </w:r>
      <w:r w:rsidR="009C191C" w:rsidRPr="00E373F6">
        <w:rPr>
          <w:rFonts w:ascii="Times New Roman" w:hAnsi="Times New Roman"/>
          <w:sz w:val="24"/>
          <w:szCs w:val="24"/>
        </w:rPr>
        <w:t>a</w:t>
      </w:r>
      <w:r w:rsidRPr="00E373F6">
        <w:rPr>
          <w:rFonts w:ascii="Times New Roman" w:hAnsi="Times New Roman"/>
          <w:sz w:val="24"/>
          <w:szCs w:val="24"/>
        </w:rPr>
        <w:t xml:space="preserve"> tárgyi időszakában </w:t>
      </w:r>
      <w:r w:rsidR="00C35D4D" w:rsidRPr="00E373F6">
        <w:rPr>
          <w:rFonts w:ascii="Times New Roman" w:hAnsi="Times New Roman"/>
          <w:sz w:val="24"/>
          <w:szCs w:val="24"/>
        </w:rPr>
        <w:t>a beavatkozások</w:t>
      </w:r>
      <w:r w:rsidR="00916597" w:rsidRPr="00E373F6">
        <w:rPr>
          <w:rFonts w:ascii="Times New Roman" w:hAnsi="Times New Roman"/>
          <w:sz w:val="24"/>
          <w:szCs w:val="24"/>
        </w:rPr>
        <w:t xml:space="preserve"> nagy részét </w:t>
      </w:r>
      <w:proofErr w:type="spellStart"/>
      <w:r w:rsidR="00916597" w:rsidRPr="00E373F6">
        <w:rPr>
          <w:rFonts w:ascii="Times New Roman" w:hAnsi="Times New Roman"/>
          <w:sz w:val="24"/>
          <w:szCs w:val="24"/>
        </w:rPr>
        <w:t>I-es</w:t>
      </w:r>
      <w:proofErr w:type="spellEnd"/>
      <w:r w:rsidR="00916597" w:rsidRPr="00E373F6">
        <w:rPr>
          <w:rFonts w:ascii="Times New Roman" w:hAnsi="Times New Roman"/>
          <w:sz w:val="24"/>
          <w:szCs w:val="24"/>
        </w:rPr>
        <w:t xml:space="preserve"> vagy I/Kiemel</w:t>
      </w:r>
      <w:r w:rsidR="00ED4303" w:rsidRPr="00E373F6">
        <w:rPr>
          <w:rFonts w:ascii="Times New Roman" w:hAnsi="Times New Roman"/>
          <w:sz w:val="24"/>
          <w:szCs w:val="24"/>
        </w:rPr>
        <w:t>t fokozatban hajtotta végre (</w:t>
      </w:r>
      <w:r w:rsidR="00044AAF" w:rsidRPr="00E373F6">
        <w:rPr>
          <w:rFonts w:ascii="Times New Roman" w:hAnsi="Times New Roman"/>
          <w:sz w:val="24"/>
          <w:szCs w:val="24"/>
        </w:rPr>
        <w:t>8</w:t>
      </w:r>
      <w:r w:rsidR="009F6840">
        <w:rPr>
          <w:rFonts w:ascii="Times New Roman" w:hAnsi="Times New Roman"/>
          <w:sz w:val="24"/>
          <w:szCs w:val="24"/>
        </w:rPr>
        <w:t>71</w:t>
      </w:r>
      <w:r w:rsidR="00DE73B3">
        <w:rPr>
          <w:rFonts w:ascii="Times New Roman" w:hAnsi="Times New Roman"/>
          <w:sz w:val="24"/>
          <w:szCs w:val="24"/>
        </w:rPr>
        <w:t xml:space="preserve"> eset). </w:t>
      </w:r>
      <w:r w:rsidR="00916597" w:rsidRPr="00E373F6">
        <w:rPr>
          <w:rFonts w:ascii="Times New Roman" w:hAnsi="Times New Roman"/>
          <w:sz w:val="24"/>
          <w:szCs w:val="24"/>
        </w:rPr>
        <w:t>Tényleges II/K</w:t>
      </w:r>
      <w:r w:rsidR="00DE73B3">
        <w:rPr>
          <w:rFonts w:ascii="Times New Roman" w:hAnsi="Times New Roman"/>
          <w:sz w:val="24"/>
          <w:szCs w:val="24"/>
        </w:rPr>
        <w:t>iemelt</w:t>
      </w:r>
      <w:r w:rsidR="00ED4303" w:rsidRPr="00E373F6">
        <w:rPr>
          <w:rFonts w:ascii="Times New Roman" w:hAnsi="Times New Roman"/>
          <w:sz w:val="24"/>
          <w:szCs w:val="24"/>
        </w:rPr>
        <w:t xml:space="preserve"> riasztási fokozat </w:t>
      </w:r>
      <w:r w:rsidR="009F6840">
        <w:rPr>
          <w:rFonts w:ascii="Times New Roman" w:hAnsi="Times New Roman"/>
          <w:sz w:val="24"/>
          <w:szCs w:val="24"/>
        </w:rPr>
        <w:t>10</w:t>
      </w:r>
      <w:r w:rsidR="00DE73B3">
        <w:rPr>
          <w:rFonts w:ascii="Times New Roman" w:hAnsi="Times New Roman"/>
          <w:sz w:val="24"/>
          <w:szCs w:val="24"/>
        </w:rPr>
        <w:t xml:space="preserve"> esetben került elrendelésre.</w:t>
      </w:r>
      <w:r w:rsidR="00916597" w:rsidRPr="00E373F6">
        <w:rPr>
          <w:rFonts w:ascii="Times New Roman" w:hAnsi="Times New Roman"/>
          <w:sz w:val="24"/>
          <w:szCs w:val="24"/>
        </w:rPr>
        <w:t xml:space="preserve"> </w:t>
      </w:r>
      <w:r w:rsidR="00DE73B3">
        <w:rPr>
          <w:rFonts w:ascii="Times New Roman" w:hAnsi="Times New Roman"/>
          <w:sz w:val="24"/>
          <w:szCs w:val="24"/>
        </w:rPr>
        <w:t xml:space="preserve">Egy káresemény volt </w:t>
      </w:r>
      <w:proofErr w:type="spellStart"/>
      <w:r w:rsidR="00916597" w:rsidRPr="00E373F6">
        <w:rPr>
          <w:rFonts w:ascii="Times New Roman" w:hAnsi="Times New Roman"/>
          <w:sz w:val="24"/>
          <w:szCs w:val="24"/>
        </w:rPr>
        <w:t>IV</w:t>
      </w:r>
      <w:r w:rsidR="00DE73B3">
        <w:rPr>
          <w:rFonts w:ascii="Times New Roman" w:hAnsi="Times New Roman"/>
          <w:sz w:val="24"/>
          <w:szCs w:val="24"/>
        </w:rPr>
        <w:t>-es</w:t>
      </w:r>
      <w:proofErr w:type="spellEnd"/>
      <w:r w:rsidR="00C35D4D" w:rsidRPr="00E373F6">
        <w:rPr>
          <w:rFonts w:ascii="Times New Roman" w:hAnsi="Times New Roman"/>
          <w:sz w:val="24"/>
          <w:szCs w:val="24"/>
        </w:rPr>
        <w:t xml:space="preserve"> </w:t>
      </w:r>
      <w:r w:rsidR="00ED4303" w:rsidRPr="00E373F6">
        <w:rPr>
          <w:rFonts w:ascii="Times New Roman" w:hAnsi="Times New Roman"/>
          <w:sz w:val="24"/>
          <w:szCs w:val="24"/>
        </w:rPr>
        <w:t>riasztási</w:t>
      </w:r>
      <w:r w:rsidR="007B53D7" w:rsidRPr="00E373F6">
        <w:rPr>
          <w:rFonts w:ascii="Times New Roman" w:hAnsi="Times New Roman"/>
          <w:sz w:val="24"/>
          <w:szCs w:val="24"/>
        </w:rPr>
        <w:t xml:space="preserve"> fokozatú</w:t>
      </w:r>
      <w:r w:rsidR="00916597" w:rsidRPr="00E373F6">
        <w:rPr>
          <w:rFonts w:ascii="Times New Roman" w:hAnsi="Times New Roman"/>
          <w:sz w:val="24"/>
          <w:szCs w:val="24"/>
        </w:rPr>
        <w:t xml:space="preserve">. </w:t>
      </w:r>
    </w:p>
    <w:p w14:paraId="74B55A85" w14:textId="5B1674D9" w:rsidR="003D790C" w:rsidRPr="003D790C" w:rsidRDefault="00DE73B3" w:rsidP="00E373F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Kiemelt káresemények</w:t>
      </w:r>
    </w:p>
    <w:p w14:paraId="6DF18886" w14:textId="34609898" w:rsidR="00DE73B3" w:rsidRDefault="00261CDB" w:rsidP="00BD7E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F1282E">
        <w:rPr>
          <w:rFonts w:ascii="Times New Roman" w:hAnsi="Times New Roman"/>
          <w:sz w:val="24"/>
          <w:szCs w:val="24"/>
        </w:rPr>
        <w:t>.</w:t>
      </w:r>
      <w:r w:rsidR="00DE73B3">
        <w:rPr>
          <w:rFonts w:ascii="Times New Roman" w:hAnsi="Times New Roman"/>
          <w:sz w:val="24"/>
          <w:szCs w:val="24"/>
        </w:rPr>
        <w:t xml:space="preserve"> riasztási fokozatban</w:t>
      </w:r>
      <w:r>
        <w:rPr>
          <w:rFonts w:ascii="Times New Roman" w:hAnsi="Times New Roman"/>
          <w:sz w:val="24"/>
          <w:szCs w:val="24"/>
        </w:rPr>
        <w:t xml:space="preserve"> </w:t>
      </w:r>
      <w:r w:rsidR="00DE73B3">
        <w:rPr>
          <w:rFonts w:ascii="Times New Roman" w:hAnsi="Times New Roman"/>
          <w:sz w:val="24"/>
          <w:szCs w:val="24"/>
        </w:rPr>
        <w:t xml:space="preserve">6 tűzesetet számoltak fel a készenléti egységek. </w:t>
      </w:r>
      <w:r>
        <w:rPr>
          <w:rFonts w:ascii="Times New Roman" w:hAnsi="Times New Roman"/>
          <w:sz w:val="24"/>
          <w:szCs w:val="24"/>
        </w:rPr>
        <w:t>Ipari területen szellőző berendezés</w:t>
      </w:r>
      <w:r w:rsidR="00DE73B3">
        <w:rPr>
          <w:rFonts w:ascii="Times New Roman" w:hAnsi="Times New Roman"/>
          <w:sz w:val="24"/>
          <w:szCs w:val="24"/>
        </w:rPr>
        <w:t>, t</w:t>
      </w:r>
      <w:r w:rsidR="007A3F14">
        <w:rPr>
          <w:rFonts w:ascii="Times New Roman" w:hAnsi="Times New Roman"/>
          <w:sz w:val="24"/>
          <w:szCs w:val="24"/>
        </w:rPr>
        <w:t xml:space="preserve">ovábbá szállító gépjármű </w:t>
      </w:r>
      <w:r w:rsidR="00DE73B3">
        <w:rPr>
          <w:rFonts w:ascii="Times New Roman" w:hAnsi="Times New Roman"/>
          <w:sz w:val="24"/>
          <w:szCs w:val="24"/>
        </w:rPr>
        <w:t xml:space="preserve">tüze miatt </w:t>
      </w:r>
      <w:r w:rsidR="00BD7E62">
        <w:rPr>
          <w:rFonts w:ascii="Times New Roman" w:hAnsi="Times New Roman"/>
          <w:sz w:val="24"/>
          <w:szCs w:val="24"/>
        </w:rPr>
        <w:t>volt hasonló fokozat elrendelve.</w:t>
      </w:r>
    </w:p>
    <w:p w14:paraId="51933973" w14:textId="77777777" w:rsidR="00BD7E62" w:rsidRDefault="00DE73B3" w:rsidP="00BD7E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Pusztazámorban lévő hulladékkezelőben történt tűzesetet II/K</w:t>
      </w:r>
      <w:r w:rsidR="00F1282E">
        <w:rPr>
          <w:rFonts w:ascii="Times New Roman" w:hAnsi="Times New Roman"/>
          <w:sz w:val="24"/>
          <w:szCs w:val="24"/>
        </w:rPr>
        <w:t>iemelt káresetként kezeltük</w:t>
      </w:r>
      <w:r>
        <w:rPr>
          <w:rFonts w:ascii="Times New Roman" w:hAnsi="Times New Roman"/>
          <w:sz w:val="24"/>
          <w:szCs w:val="24"/>
        </w:rPr>
        <w:t>.</w:t>
      </w:r>
      <w:r w:rsidR="007A3F14">
        <w:rPr>
          <w:rFonts w:ascii="Times New Roman" w:hAnsi="Times New Roman"/>
          <w:sz w:val="24"/>
          <w:szCs w:val="24"/>
        </w:rPr>
        <w:t xml:space="preserve"> </w:t>
      </w:r>
    </w:p>
    <w:p w14:paraId="2D04FAA8" w14:textId="180FE212" w:rsidR="00261CDB" w:rsidRDefault="007A3F14" w:rsidP="00BD7E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Érden 5 hektáros terület</w:t>
      </w:r>
      <w:r w:rsidR="00B15FD5">
        <w:rPr>
          <w:rFonts w:ascii="Times New Roman" w:hAnsi="Times New Roman"/>
          <w:sz w:val="24"/>
          <w:szCs w:val="24"/>
        </w:rPr>
        <w:t xml:space="preserve"> égett. ahol magasabb riasztási fokozatot rendeltek el. </w:t>
      </w:r>
    </w:p>
    <w:p w14:paraId="5C6C07EB" w14:textId="66D1ED63" w:rsidR="007A3F14" w:rsidRDefault="007A3F14" w:rsidP="00BD7E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Biatorbágyon novemb</w:t>
      </w:r>
      <w:r w:rsidR="00B15FD5">
        <w:rPr>
          <w:rFonts w:ascii="Times New Roman" w:hAnsi="Times New Roman"/>
          <w:sz w:val="24"/>
          <w:szCs w:val="24"/>
        </w:rPr>
        <w:t xml:space="preserve">erben </w:t>
      </w:r>
      <w:r>
        <w:rPr>
          <w:rFonts w:ascii="Times New Roman" w:hAnsi="Times New Roman"/>
          <w:sz w:val="24"/>
          <w:szCs w:val="24"/>
        </w:rPr>
        <w:t>cukrászüzem</w:t>
      </w:r>
      <w:r w:rsidR="00B15FD5">
        <w:rPr>
          <w:rFonts w:ascii="Times New Roman" w:hAnsi="Times New Roman"/>
          <w:sz w:val="24"/>
          <w:szCs w:val="24"/>
        </w:rPr>
        <w:t xml:space="preserve"> égett több szinten kb.</w:t>
      </w:r>
      <w:r>
        <w:rPr>
          <w:rFonts w:ascii="Times New Roman" w:hAnsi="Times New Roman"/>
          <w:sz w:val="24"/>
          <w:szCs w:val="24"/>
        </w:rPr>
        <w:t xml:space="preserve"> 200</w:t>
      </w:r>
      <w:r w:rsidR="00B15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7A3F1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15FD5">
        <w:rPr>
          <w:rFonts w:ascii="Times New Roman" w:hAnsi="Times New Roman"/>
          <w:sz w:val="24"/>
          <w:szCs w:val="24"/>
        </w:rPr>
        <w:t xml:space="preserve">területen </w:t>
      </w:r>
      <w:r>
        <w:rPr>
          <w:rFonts w:ascii="Times New Roman" w:hAnsi="Times New Roman"/>
          <w:sz w:val="24"/>
          <w:szCs w:val="24"/>
        </w:rPr>
        <w:t xml:space="preserve">IV. kiemelt riasztási fokozat elrendelése </w:t>
      </w:r>
      <w:r w:rsidR="00B15FD5">
        <w:rPr>
          <w:rFonts w:ascii="Times New Roman" w:hAnsi="Times New Roman"/>
          <w:sz w:val="24"/>
          <w:szCs w:val="24"/>
        </w:rPr>
        <w:t>mellett</w:t>
      </w:r>
      <w:r w:rsidR="003D790C">
        <w:rPr>
          <w:rFonts w:ascii="Times New Roman" w:hAnsi="Times New Roman"/>
          <w:sz w:val="24"/>
          <w:szCs w:val="24"/>
        </w:rPr>
        <w:t xml:space="preserve">. </w:t>
      </w:r>
      <w:r w:rsidR="003D790C" w:rsidRPr="003D790C">
        <w:rPr>
          <w:rFonts w:ascii="Times New Roman" w:hAnsi="Times New Roman"/>
          <w:sz w:val="24"/>
          <w:szCs w:val="24"/>
        </w:rPr>
        <w:t>A munkavégzést neh</w:t>
      </w:r>
      <w:r w:rsidR="00B15FD5">
        <w:rPr>
          <w:rFonts w:ascii="Times New Roman" w:hAnsi="Times New Roman"/>
          <w:sz w:val="24"/>
          <w:szCs w:val="24"/>
        </w:rPr>
        <w:t xml:space="preserve">ezítette a beszakadó mennyezet </w:t>
      </w:r>
      <w:r w:rsidR="003D790C" w:rsidRPr="003D790C">
        <w:rPr>
          <w:rFonts w:ascii="Times New Roman" w:hAnsi="Times New Roman"/>
          <w:sz w:val="24"/>
          <w:szCs w:val="24"/>
        </w:rPr>
        <w:t>és a padlástérbe feljutást bizt</w:t>
      </w:r>
      <w:r w:rsidR="00B15FD5">
        <w:rPr>
          <w:rFonts w:ascii="Times New Roman" w:hAnsi="Times New Roman"/>
          <w:sz w:val="24"/>
          <w:szCs w:val="24"/>
        </w:rPr>
        <w:t xml:space="preserve">osító feljárók elhelyezkedése, mennyisége, továbbá </w:t>
      </w:r>
      <w:r w:rsidR="003D790C" w:rsidRPr="003D790C">
        <w:rPr>
          <w:rFonts w:ascii="Times New Roman" w:hAnsi="Times New Roman"/>
          <w:sz w:val="24"/>
          <w:szCs w:val="24"/>
        </w:rPr>
        <w:t>az épület tagoltsága.</w:t>
      </w:r>
    </w:p>
    <w:p w14:paraId="38C52873" w14:textId="1380CB61" w:rsidR="003D790C" w:rsidRDefault="003D790C" w:rsidP="00E373F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F06FB90" wp14:editId="3E0371E4">
            <wp:extent cx="5570715" cy="3538517"/>
            <wp:effectExtent l="0" t="0" r="11430" b="5080"/>
            <wp:docPr id="1361680977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9B288D-5378-9A6C-95A7-97CF2FDC84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95EF5B" w14:textId="77777777" w:rsidR="003D790C" w:rsidRPr="00B83BBE" w:rsidRDefault="003D790C" w:rsidP="003D790C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6B0C54FE" w14:textId="77777777" w:rsidR="003D790C" w:rsidRPr="00B83BBE" w:rsidRDefault="003D790C" w:rsidP="003D790C">
      <w:pPr>
        <w:spacing w:after="0"/>
        <w:jc w:val="center"/>
        <w:rPr>
          <w:rFonts w:ascii="Times New Roman" w:hAnsi="Times New Roman"/>
          <w:i/>
          <w:color w:val="000000"/>
          <w:sz w:val="16"/>
          <w:szCs w:val="16"/>
        </w:rPr>
      </w:pPr>
      <w:proofErr w:type="gramStart"/>
      <w:r w:rsidRPr="00B83BBE">
        <w:rPr>
          <w:rFonts w:ascii="Times New Roman" w:hAnsi="Times New Roman"/>
          <w:i/>
          <w:color w:val="000000"/>
          <w:sz w:val="16"/>
          <w:szCs w:val="16"/>
        </w:rPr>
        <w:t>forrás</w:t>
      </w:r>
      <w:proofErr w:type="gramEnd"/>
      <w:r w:rsidRPr="00B83BBE">
        <w:rPr>
          <w:rFonts w:ascii="Times New Roman" w:hAnsi="Times New Roman"/>
          <w:i/>
          <w:color w:val="000000"/>
          <w:sz w:val="16"/>
          <w:szCs w:val="16"/>
        </w:rPr>
        <w:t>: saját adat</w:t>
      </w:r>
    </w:p>
    <w:p w14:paraId="55C20D3D" w14:textId="20AD9A5F" w:rsidR="003D790C" w:rsidRDefault="00261CDB" w:rsidP="00B02C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717</w:t>
      </w:r>
      <w:r w:rsidR="00B15FD5">
        <w:rPr>
          <w:rFonts w:ascii="Times New Roman" w:hAnsi="Times New Roman"/>
          <w:sz w:val="24"/>
          <w:szCs w:val="24"/>
        </w:rPr>
        <w:t xml:space="preserve"> tűzesethez történt jelzés</w:t>
      </w:r>
      <w:r w:rsidR="00786429" w:rsidRPr="00E373F6">
        <w:rPr>
          <w:rFonts w:ascii="Times New Roman" w:hAnsi="Times New Roman"/>
          <w:sz w:val="24"/>
          <w:szCs w:val="24"/>
        </w:rPr>
        <w:t xml:space="preserve">, amelyből </w:t>
      </w:r>
      <w:r w:rsidR="003D790C">
        <w:rPr>
          <w:rFonts w:ascii="Times New Roman" w:hAnsi="Times New Roman"/>
          <w:sz w:val="24"/>
          <w:szCs w:val="24"/>
        </w:rPr>
        <w:t>194</w:t>
      </w:r>
      <w:r w:rsidR="00786429" w:rsidRPr="00E373F6">
        <w:rPr>
          <w:rFonts w:ascii="Times New Roman" w:hAnsi="Times New Roman"/>
          <w:sz w:val="24"/>
          <w:szCs w:val="24"/>
        </w:rPr>
        <w:t xml:space="preserve"> beav</w:t>
      </w:r>
      <w:r w:rsidR="00B15FD5">
        <w:rPr>
          <w:rFonts w:ascii="Times New Roman" w:hAnsi="Times New Roman"/>
          <w:sz w:val="24"/>
          <w:szCs w:val="24"/>
        </w:rPr>
        <w:t>atkozást igénylő káresemény</w:t>
      </w:r>
      <w:r w:rsidR="00786429" w:rsidRPr="00E373F6">
        <w:rPr>
          <w:rFonts w:ascii="Times New Roman" w:hAnsi="Times New Roman"/>
          <w:sz w:val="24"/>
          <w:szCs w:val="24"/>
        </w:rPr>
        <w:t xml:space="preserve">, </w:t>
      </w:r>
      <w:r w:rsidR="003D790C">
        <w:rPr>
          <w:rFonts w:ascii="Times New Roman" w:hAnsi="Times New Roman"/>
          <w:sz w:val="24"/>
          <w:szCs w:val="24"/>
        </w:rPr>
        <w:t>328</w:t>
      </w:r>
      <w:r w:rsidR="008B27BA" w:rsidRPr="00E373F6">
        <w:rPr>
          <w:rFonts w:ascii="Times New Roman" w:hAnsi="Times New Roman"/>
          <w:sz w:val="24"/>
          <w:szCs w:val="24"/>
        </w:rPr>
        <w:t xml:space="preserve"> </w:t>
      </w:r>
      <w:r w:rsidR="00B15FD5">
        <w:rPr>
          <w:rFonts w:ascii="Times New Roman" w:hAnsi="Times New Roman"/>
          <w:sz w:val="24"/>
          <w:szCs w:val="24"/>
        </w:rPr>
        <w:t>eset téves jelzés</w:t>
      </w:r>
      <w:r w:rsidR="00786429" w:rsidRPr="00E373F6">
        <w:rPr>
          <w:rFonts w:ascii="Times New Roman" w:hAnsi="Times New Roman"/>
          <w:sz w:val="24"/>
          <w:szCs w:val="24"/>
        </w:rPr>
        <w:t xml:space="preserve">, </w:t>
      </w:r>
      <w:r w:rsidR="003D790C">
        <w:rPr>
          <w:rFonts w:ascii="Times New Roman" w:hAnsi="Times New Roman"/>
          <w:sz w:val="24"/>
          <w:szCs w:val="24"/>
        </w:rPr>
        <w:t>88</w:t>
      </w:r>
      <w:r w:rsidR="00657595" w:rsidRPr="00E373F6">
        <w:rPr>
          <w:rFonts w:ascii="Times New Roman" w:hAnsi="Times New Roman"/>
          <w:sz w:val="24"/>
          <w:szCs w:val="24"/>
        </w:rPr>
        <w:t xml:space="preserve"> </w:t>
      </w:r>
      <w:r w:rsidR="00B15FD5">
        <w:rPr>
          <w:rFonts w:ascii="Times New Roman" w:hAnsi="Times New Roman"/>
          <w:sz w:val="24"/>
          <w:szCs w:val="24"/>
        </w:rPr>
        <w:t xml:space="preserve">eset </w:t>
      </w:r>
      <w:r w:rsidR="00786429" w:rsidRPr="00E373F6">
        <w:rPr>
          <w:rFonts w:ascii="Times New Roman" w:hAnsi="Times New Roman"/>
          <w:sz w:val="24"/>
          <w:szCs w:val="24"/>
        </w:rPr>
        <w:t xml:space="preserve">kiérkezés előtt felszámolt és </w:t>
      </w:r>
      <w:r w:rsidR="003D790C">
        <w:rPr>
          <w:rFonts w:ascii="Times New Roman" w:hAnsi="Times New Roman"/>
          <w:sz w:val="24"/>
          <w:szCs w:val="24"/>
        </w:rPr>
        <w:t>4</w:t>
      </w:r>
      <w:r w:rsidR="008B27BA" w:rsidRPr="00E373F6">
        <w:rPr>
          <w:rFonts w:ascii="Times New Roman" w:hAnsi="Times New Roman"/>
          <w:sz w:val="24"/>
          <w:szCs w:val="24"/>
        </w:rPr>
        <w:t xml:space="preserve"> </w:t>
      </w:r>
      <w:r w:rsidR="00786429" w:rsidRPr="00E373F6">
        <w:rPr>
          <w:rFonts w:ascii="Times New Roman" w:hAnsi="Times New Roman"/>
          <w:sz w:val="24"/>
          <w:szCs w:val="24"/>
        </w:rPr>
        <w:t xml:space="preserve">utólagos jelzés </w:t>
      </w:r>
      <w:r w:rsidR="00B15FD5">
        <w:rPr>
          <w:rFonts w:ascii="Times New Roman" w:hAnsi="Times New Roman"/>
          <w:sz w:val="24"/>
          <w:szCs w:val="24"/>
        </w:rPr>
        <w:t>volt</w:t>
      </w:r>
      <w:r w:rsidR="00786429" w:rsidRPr="00E373F6">
        <w:rPr>
          <w:rFonts w:ascii="Times New Roman" w:hAnsi="Times New Roman"/>
          <w:sz w:val="24"/>
          <w:szCs w:val="24"/>
        </w:rPr>
        <w:t xml:space="preserve">. </w:t>
      </w:r>
      <w:r w:rsidR="007E53F3">
        <w:rPr>
          <w:rFonts w:ascii="Times New Roman" w:hAnsi="Times New Roman"/>
          <w:sz w:val="24"/>
          <w:szCs w:val="24"/>
        </w:rPr>
        <w:t xml:space="preserve"> </w:t>
      </w:r>
      <w:r w:rsidR="007E53F3" w:rsidRPr="00E373F6">
        <w:rPr>
          <w:rFonts w:ascii="Times New Roman" w:hAnsi="Times New Roman"/>
          <w:sz w:val="24"/>
          <w:szCs w:val="24"/>
        </w:rPr>
        <w:t>A téves jelzések</w:t>
      </w:r>
      <w:r w:rsidR="00B15FD5">
        <w:rPr>
          <w:rFonts w:ascii="Times New Roman" w:hAnsi="Times New Roman"/>
          <w:sz w:val="24"/>
          <w:szCs w:val="24"/>
        </w:rPr>
        <w:t>et jellemzően ipari parkokba</w:t>
      </w:r>
      <w:r w:rsidR="007E53F3" w:rsidRPr="00E373F6">
        <w:rPr>
          <w:rFonts w:ascii="Times New Roman" w:hAnsi="Times New Roman"/>
          <w:sz w:val="24"/>
          <w:szCs w:val="24"/>
        </w:rPr>
        <w:t>, logisztikai, szociális és oktatási intézményekbe telepített automatikus átjelzésű</w:t>
      </w:r>
      <w:r w:rsidR="00C04063">
        <w:rPr>
          <w:rFonts w:ascii="Times New Roman" w:hAnsi="Times New Roman"/>
          <w:sz w:val="24"/>
          <w:szCs w:val="24"/>
        </w:rPr>
        <w:t>, beépített tűzjelzői generált</w:t>
      </w:r>
      <w:r w:rsidR="00B15FD5">
        <w:rPr>
          <w:rFonts w:ascii="Times New Roman" w:hAnsi="Times New Roman"/>
          <w:sz w:val="24"/>
          <w:szCs w:val="24"/>
        </w:rPr>
        <w:t>ák</w:t>
      </w:r>
      <w:r w:rsidR="007E53F3" w:rsidRPr="00E373F6">
        <w:rPr>
          <w:rFonts w:ascii="Times New Roman" w:hAnsi="Times New Roman"/>
          <w:sz w:val="24"/>
          <w:szCs w:val="24"/>
        </w:rPr>
        <w:t>.</w:t>
      </w:r>
      <w:r w:rsidR="007E53F3">
        <w:rPr>
          <w:rFonts w:ascii="Times New Roman" w:hAnsi="Times New Roman"/>
          <w:sz w:val="24"/>
          <w:szCs w:val="24"/>
        </w:rPr>
        <w:t xml:space="preserve"> </w:t>
      </w:r>
      <w:r w:rsidR="00B15FD5">
        <w:rPr>
          <w:rFonts w:ascii="Times New Roman" w:hAnsi="Times New Roman"/>
          <w:sz w:val="24"/>
          <w:szCs w:val="24"/>
        </w:rPr>
        <w:t xml:space="preserve">Az ismétlődő téves </w:t>
      </w:r>
      <w:r w:rsidR="007E53F3" w:rsidRPr="00E373F6">
        <w:rPr>
          <w:rFonts w:ascii="Times New Roman" w:hAnsi="Times New Roman"/>
          <w:sz w:val="24"/>
          <w:szCs w:val="24"/>
        </w:rPr>
        <w:t>jelzéseket folyamatosan el</w:t>
      </w:r>
      <w:r w:rsidR="00B15FD5">
        <w:rPr>
          <w:rFonts w:ascii="Times New Roman" w:hAnsi="Times New Roman"/>
          <w:sz w:val="24"/>
          <w:szCs w:val="24"/>
        </w:rPr>
        <w:t xml:space="preserve">emezzük, tekintettel arra, hogy a </w:t>
      </w:r>
      <w:r w:rsidR="007E53F3" w:rsidRPr="00E373F6">
        <w:rPr>
          <w:rFonts w:ascii="Times New Roman" w:hAnsi="Times New Roman"/>
          <w:sz w:val="24"/>
          <w:szCs w:val="24"/>
        </w:rPr>
        <w:t>megkezdett vonulás elvonja az erőforrásokat a valós eseményektől, beavatkozásoktól.</w:t>
      </w:r>
    </w:p>
    <w:p w14:paraId="2BB18265" w14:textId="1E6ED63F" w:rsidR="002F2490" w:rsidRDefault="002F2490" w:rsidP="002F2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1D1DF493" wp14:editId="536753B7">
            <wp:extent cx="5510150" cy="3835730"/>
            <wp:effectExtent l="0" t="0" r="14605" b="12700"/>
            <wp:docPr id="19570298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9F13A5-52FC-F374-8FA3-BAAEBD3929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301030" w14:textId="77777777" w:rsidR="002F2490" w:rsidRPr="00B83BBE" w:rsidRDefault="002F2490" w:rsidP="002F2490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02E9C879" w14:textId="77777777" w:rsidR="002F2490" w:rsidRPr="00B83BBE" w:rsidRDefault="002F2490" w:rsidP="002F2490">
      <w:pPr>
        <w:spacing w:after="0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6293339E" w14:textId="77777777" w:rsidR="002F2490" w:rsidRDefault="002F2490" w:rsidP="0093461B">
      <w:pPr>
        <w:jc w:val="both"/>
        <w:rPr>
          <w:rFonts w:ascii="Times New Roman" w:hAnsi="Times New Roman"/>
          <w:sz w:val="24"/>
          <w:szCs w:val="24"/>
        </w:rPr>
      </w:pPr>
    </w:p>
    <w:p w14:paraId="3237626C" w14:textId="77777777" w:rsidR="00B15FD5" w:rsidRDefault="00B15FD5" w:rsidP="009346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2024-ben több mint 10</w:t>
      </w:r>
      <w:r w:rsidR="001268C4">
        <w:rPr>
          <w:rFonts w:ascii="Times New Roman" w:hAnsi="Times New Roman"/>
          <w:sz w:val="24"/>
          <w:szCs w:val="24"/>
        </w:rPr>
        <w:t>%-kal nőtt a tűzeset</w:t>
      </w:r>
      <w:r w:rsidR="00C04063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száma. </w:t>
      </w:r>
      <w:r w:rsidR="0093461B">
        <w:rPr>
          <w:rFonts w:ascii="Times New Roman" w:hAnsi="Times New Roman"/>
          <w:sz w:val="24"/>
          <w:szCs w:val="24"/>
        </w:rPr>
        <w:t>144</w:t>
      </w:r>
      <w:r w:rsidR="005C7713" w:rsidRPr="00E373F6">
        <w:rPr>
          <w:rFonts w:ascii="Times New Roman" w:hAnsi="Times New Roman"/>
          <w:sz w:val="24"/>
          <w:szCs w:val="24"/>
        </w:rPr>
        <w:t xml:space="preserve"> esetbe</w:t>
      </w:r>
      <w:r w:rsidR="003D62BB" w:rsidRPr="00E373F6">
        <w:rPr>
          <w:rFonts w:ascii="Times New Roman" w:hAnsi="Times New Roman"/>
          <w:sz w:val="24"/>
          <w:szCs w:val="24"/>
        </w:rPr>
        <w:t>n</w:t>
      </w:r>
      <w:r w:rsidR="005C7713" w:rsidRPr="00E373F6">
        <w:rPr>
          <w:rFonts w:ascii="Times New Roman" w:hAnsi="Times New Roman"/>
          <w:sz w:val="24"/>
          <w:szCs w:val="24"/>
        </w:rPr>
        <w:t xml:space="preserve"> szabadtéri tűzeset történt,</w:t>
      </w:r>
      <w:r w:rsidR="00342E25" w:rsidRPr="00E37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912CA" w:rsidRPr="00E373F6">
        <w:rPr>
          <w:rFonts w:ascii="Times New Roman" w:hAnsi="Times New Roman"/>
          <w:sz w:val="24"/>
          <w:szCs w:val="24"/>
        </w:rPr>
        <w:t xml:space="preserve">melyből </w:t>
      </w:r>
      <w:r w:rsidR="0093461B">
        <w:rPr>
          <w:rFonts w:ascii="Times New Roman" w:hAnsi="Times New Roman"/>
          <w:sz w:val="24"/>
          <w:szCs w:val="24"/>
        </w:rPr>
        <w:t>88</w:t>
      </w:r>
      <w:r w:rsidR="001912CA" w:rsidRPr="00E373F6">
        <w:rPr>
          <w:rFonts w:ascii="Times New Roman" w:hAnsi="Times New Roman"/>
          <w:sz w:val="24"/>
          <w:szCs w:val="24"/>
        </w:rPr>
        <w:t xml:space="preserve"> esetben Ercsi településen kellett beavatkoznunk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635A3A3" w14:textId="7993932A" w:rsidR="00CF1E43" w:rsidRDefault="00B15FD5" w:rsidP="009346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otthon jellegű épületeknél</w:t>
      </w:r>
      <w:r w:rsidR="00625C11" w:rsidRPr="00320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F60A22" w:rsidRPr="003205BB">
        <w:rPr>
          <w:rFonts w:ascii="Times New Roman" w:hAnsi="Times New Roman"/>
          <w:sz w:val="24"/>
          <w:szCs w:val="24"/>
        </w:rPr>
        <w:t>napelemmel felszerelt</w:t>
      </w:r>
      <w:r w:rsidR="00625C11" w:rsidRPr="00320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lakóingatlanok tüze emelkedést mutat (2 esetről 8-ra nőtt</w:t>
      </w:r>
      <w:r w:rsidR="00154ECD">
        <w:rPr>
          <w:rFonts w:ascii="Times New Roman" w:hAnsi="Times New Roman"/>
          <w:sz w:val="24"/>
          <w:szCs w:val="24"/>
        </w:rPr>
        <w:t>).</w:t>
      </w:r>
    </w:p>
    <w:p w14:paraId="17DDB41D" w14:textId="77777777" w:rsidR="00CF1E43" w:rsidRDefault="00CF1E43" w:rsidP="00CF1E4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A5B069C" wp14:editId="21236E39">
            <wp:extent cx="4869793" cy="2708569"/>
            <wp:effectExtent l="0" t="0" r="7620" b="15875"/>
            <wp:docPr id="2049951377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8AAC74-F691-1A37-97AD-FE8F4AAA9E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642C43" w14:textId="5DB8DC06" w:rsidR="00CF1E43" w:rsidRPr="00B83BBE" w:rsidRDefault="00CF1E43" w:rsidP="00CF1E4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5602C56E" w14:textId="77777777" w:rsidR="00CF1E43" w:rsidRPr="00B83BBE" w:rsidRDefault="00CF1E43" w:rsidP="00CF1E43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031A3680" w14:textId="77777777" w:rsidR="00CF1E43" w:rsidRDefault="00CF1E43" w:rsidP="00CF1E43">
      <w:pPr>
        <w:jc w:val="center"/>
        <w:rPr>
          <w:rFonts w:ascii="Times New Roman" w:hAnsi="Times New Roman"/>
          <w:sz w:val="24"/>
          <w:szCs w:val="24"/>
        </w:rPr>
      </w:pPr>
    </w:p>
    <w:p w14:paraId="1D93C9A8" w14:textId="2E492AC9" w:rsidR="00342E25" w:rsidRPr="00E373F6" w:rsidRDefault="00CF1E43" w:rsidP="00154E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24%</w:t>
      </w:r>
      <w:r w:rsidR="00C04063">
        <w:rPr>
          <w:rFonts w:ascii="Times New Roman" w:hAnsi="Times New Roman"/>
          <w:sz w:val="24"/>
          <w:szCs w:val="24"/>
        </w:rPr>
        <w:t>-kal</w:t>
      </w:r>
      <w:r>
        <w:rPr>
          <w:rFonts w:ascii="Times New Roman" w:hAnsi="Times New Roman"/>
          <w:sz w:val="24"/>
          <w:szCs w:val="24"/>
        </w:rPr>
        <w:t xml:space="preserve"> nőtt az otthon jellegű létesítményekben </w:t>
      </w:r>
      <w:r w:rsidR="00154ECD">
        <w:rPr>
          <w:rFonts w:ascii="Times New Roman" w:hAnsi="Times New Roman"/>
          <w:sz w:val="24"/>
          <w:szCs w:val="24"/>
        </w:rPr>
        <w:t>keletkezett tüzek száma. K</w:t>
      </w:r>
      <w:r>
        <w:rPr>
          <w:rFonts w:ascii="Times New Roman" w:hAnsi="Times New Roman"/>
          <w:sz w:val="24"/>
          <w:szCs w:val="24"/>
        </w:rPr>
        <w:t>iemelt feladatként kell kezelni a</w:t>
      </w:r>
      <w:r w:rsidR="00342E25" w:rsidRPr="00E373F6">
        <w:rPr>
          <w:rFonts w:ascii="Times New Roman" w:hAnsi="Times New Roman"/>
          <w:sz w:val="24"/>
          <w:szCs w:val="24"/>
        </w:rPr>
        <w:t xml:space="preserve"> megelőző tájékoztatást </w:t>
      </w:r>
      <w:r w:rsidR="00154ECD">
        <w:rPr>
          <w:rFonts w:ascii="Times New Roman" w:hAnsi="Times New Roman"/>
          <w:sz w:val="24"/>
          <w:szCs w:val="24"/>
        </w:rPr>
        <w:t xml:space="preserve">a lakosság részére a </w:t>
      </w:r>
      <w:r w:rsidR="00342E25" w:rsidRPr="00E373F6">
        <w:rPr>
          <w:rFonts w:ascii="Times New Roman" w:hAnsi="Times New Roman"/>
          <w:sz w:val="24"/>
          <w:szCs w:val="24"/>
        </w:rPr>
        <w:t>tűzoltóság működési területén jelen lévő médián keresztül, felhasználva a személyes rendezvényi megjelenéseket és önkormányzatok által működtetett internetes felületeket. Elemezve a tűzv</w:t>
      </w:r>
      <w:r w:rsidR="00154ECD">
        <w:rPr>
          <w:rFonts w:ascii="Times New Roman" w:hAnsi="Times New Roman"/>
          <w:sz w:val="24"/>
          <w:szCs w:val="24"/>
        </w:rPr>
        <w:t xml:space="preserve">édelmet befolyásoló tényezőket </w:t>
      </w:r>
      <w:r w:rsidR="00342E25" w:rsidRPr="00E373F6">
        <w:rPr>
          <w:rFonts w:ascii="Times New Roman" w:hAnsi="Times New Roman"/>
          <w:sz w:val="24"/>
          <w:szCs w:val="24"/>
        </w:rPr>
        <w:t>változások következtek be a tűzoltóság által védett területen. Az aggl</w:t>
      </w:r>
      <w:r w:rsidR="00154ECD">
        <w:rPr>
          <w:rFonts w:ascii="Times New Roman" w:hAnsi="Times New Roman"/>
          <w:sz w:val="24"/>
          <w:szCs w:val="24"/>
        </w:rPr>
        <w:t>omerációs területek lakosság</w:t>
      </w:r>
      <w:r w:rsidR="00342E25" w:rsidRPr="00E373F6">
        <w:rPr>
          <w:rFonts w:ascii="Times New Roman" w:hAnsi="Times New Roman"/>
          <w:sz w:val="24"/>
          <w:szCs w:val="24"/>
        </w:rPr>
        <w:t xml:space="preserve">száma megnőtt. </w:t>
      </w:r>
      <w:r w:rsidR="00154ECD">
        <w:rPr>
          <w:rFonts w:ascii="Times New Roman" w:hAnsi="Times New Roman"/>
          <w:sz w:val="24"/>
          <w:szCs w:val="24"/>
        </w:rPr>
        <w:t xml:space="preserve">A lakosság egy részét nehezebb elérni </w:t>
      </w:r>
      <w:r w:rsidR="00342E25" w:rsidRPr="00E373F6">
        <w:rPr>
          <w:rFonts w:ascii="Times New Roman" w:hAnsi="Times New Roman"/>
          <w:sz w:val="24"/>
          <w:szCs w:val="24"/>
        </w:rPr>
        <w:t>a</w:t>
      </w:r>
      <w:r w:rsidR="00154ECD">
        <w:rPr>
          <w:rFonts w:ascii="Times New Roman" w:hAnsi="Times New Roman"/>
          <w:sz w:val="24"/>
          <w:szCs w:val="24"/>
        </w:rPr>
        <w:t>z internet és a helyi média útján</w:t>
      </w:r>
      <w:r w:rsidR="00342E25" w:rsidRPr="00E373F6">
        <w:rPr>
          <w:rFonts w:ascii="Times New Roman" w:hAnsi="Times New Roman"/>
          <w:sz w:val="24"/>
          <w:szCs w:val="24"/>
        </w:rPr>
        <w:t xml:space="preserve">, ezért figyelmet fordítottunk e területek beazonosítására, és </w:t>
      </w:r>
      <w:r w:rsidR="00154ECD">
        <w:rPr>
          <w:rFonts w:ascii="Times New Roman" w:hAnsi="Times New Roman"/>
          <w:sz w:val="24"/>
          <w:szCs w:val="24"/>
        </w:rPr>
        <w:t>törekedtünk az itt élők tájékoztatására</w:t>
      </w:r>
      <w:r w:rsidR="00342E25" w:rsidRPr="00E373F6">
        <w:rPr>
          <w:rFonts w:ascii="Times New Roman" w:hAnsi="Times New Roman"/>
          <w:sz w:val="24"/>
          <w:szCs w:val="24"/>
        </w:rPr>
        <w:t xml:space="preserve"> </w:t>
      </w:r>
      <w:r w:rsidR="00154ECD">
        <w:rPr>
          <w:rFonts w:ascii="Times New Roman" w:hAnsi="Times New Roman"/>
          <w:sz w:val="24"/>
          <w:szCs w:val="24"/>
        </w:rPr>
        <w:t>a</w:t>
      </w:r>
      <w:r w:rsidR="00342E25" w:rsidRPr="00E373F6">
        <w:rPr>
          <w:rFonts w:ascii="Times New Roman" w:hAnsi="Times New Roman"/>
          <w:sz w:val="24"/>
          <w:szCs w:val="24"/>
        </w:rPr>
        <w:t xml:space="preserve"> k</w:t>
      </w:r>
      <w:r w:rsidR="00154ECD">
        <w:rPr>
          <w:rFonts w:ascii="Times New Roman" w:hAnsi="Times New Roman"/>
          <w:sz w:val="24"/>
          <w:szCs w:val="24"/>
        </w:rPr>
        <w:t xml:space="preserve">övetendő tűzvédelmi szabályokkal kapcsolatban. </w:t>
      </w:r>
    </w:p>
    <w:p w14:paraId="35679CC3" w14:textId="01F321B4" w:rsidR="00CF1E43" w:rsidRDefault="00CA357B" w:rsidP="00CA3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760B029" wp14:editId="151C5F7D">
            <wp:extent cx="5760720" cy="3110865"/>
            <wp:effectExtent l="0" t="0" r="11430" b="13335"/>
            <wp:docPr id="319604509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44EBFA-A9B2-FFDA-0B5A-F6D6DFE3FA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B8F145" w14:textId="77777777" w:rsidR="00CA357B" w:rsidRPr="00B83BBE" w:rsidRDefault="00CA357B" w:rsidP="00CA357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070CC614" w14:textId="77777777" w:rsidR="00CA357B" w:rsidRPr="00B83BBE" w:rsidRDefault="00CA357B" w:rsidP="00CA357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1E518DC8" w14:textId="77777777" w:rsidR="00CA357B" w:rsidRDefault="00CA357B" w:rsidP="00E373F6">
      <w:pPr>
        <w:rPr>
          <w:rFonts w:ascii="Times New Roman" w:hAnsi="Times New Roman"/>
          <w:sz w:val="24"/>
          <w:szCs w:val="24"/>
        </w:rPr>
      </w:pPr>
    </w:p>
    <w:p w14:paraId="53640A83" w14:textId="3431D084" w:rsidR="00CA357B" w:rsidRPr="00E373F6" w:rsidRDefault="00535922" w:rsidP="00CA357B">
      <w:pPr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t>81</w:t>
      </w:r>
      <w:r w:rsidR="00CA357B">
        <w:rPr>
          <w:rFonts w:ascii="Times New Roman" w:hAnsi="Times New Roman"/>
          <w:sz w:val="24"/>
          <w:szCs w:val="24"/>
        </w:rPr>
        <w:t>4</w:t>
      </w:r>
      <w:r w:rsidR="001B7988" w:rsidRPr="00E373F6">
        <w:rPr>
          <w:rFonts w:ascii="Times New Roman" w:hAnsi="Times New Roman"/>
          <w:sz w:val="24"/>
          <w:szCs w:val="24"/>
        </w:rPr>
        <w:t xml:space="preserve"> műszaki mentéshez </w:t>
      </w:r>
      <w:r w:rsidR="00154ECD">
        <w:rPr>
          <w:rFonts w:ascii="Times New Roman" w:hAnsi="Times New Roman"/>
          <w:sz w:val="24"/>
          <w:szCs w:val="24"/>
        </w:rPr>
        <w:t xml:space="preserve">érkezett jelzés, amely </w:t>
      </w:r>
      <w:r w:rsidR="00CA357B">
        <w:rPr>
          <w:rFonts w:ascii="Times New Roman" w:hAnsi="Times New Roman"/>
          <w:b/>
          <w:sz w:val="24"/>
          <w:szCs w:val="24"/>
        </w:rPr>
        <w:t>588</w:t>
      </w:r>
      <w:r w:rsidR="008B27BA" w:rsidRPr="00E373F6">
        <w:rPr>
          <w:rFonts w:ascii="Times New Roman" w:hAnsi="Times New Roman"/>
          <w:sz w:val="24"/>
          <w:szCs w:val="24"/>
        </w:rPr>
        <w:t xml:space="preserve"> </w:t>
      </w:r>
      <w:r w:rsidR="001B7988" w:rsidRPr="00E373F6">
        <w:rPr>
          <w:rFonts w:ascii="Times New Roman" w:hAnsi="Times New Roman"/>
          <w:sz w:val="24"/>
          <w:szCs w:val="24"/>
        </w:rPr>
        <w:t>esetben beavatkozás</w:t>
      </w:r>
      <w:r w:rsidR="00C04063">
        <w:rPr>
          <w:rFonts w:ascii="Times New Roman" w:hAnsi="Times New Roman"/>
          <w:sz w:val="24"/>
          <w:szCs w:val="24"/>
        </w:rPr>
        <w:t>t</w:t>
      </w:r>
      <w:r w:rsidR="001B7988" w:rsidRPr="00E373F6">
        <w:rPr>
          <w:rFonts w:ascii="Times New Roman" w:hAnsi="Times New Roman"/>
          <w:sz w:val="24"/>
          <w:szCs w:val="24"/>
        </w:rPr>
        <w:t xml:space="preserve"> igény</w:t>
      </w:r>
      <w:r w:rsidR="00154ECD">
        <w:rPr>
          <w:rFonts w:ascii="Times New Roman" w:hAnsi="Times New Roman"/>
          <w:sz w:val="24"/>
          <w:szCs w:val="24"/>
        </w:rPr>
        <w:t xml:space="preserve">elt. </w:t>
      </w:r>
      <w:r w:rsidR="00CA357B">
        <w:rPr>
          <w:rFonts w:ascii="Times New Roman" w:hAnsi="Times New Roman"/>
          <w:sz w:val="24"/>
          <w:szCs w:val="24"/>
        </w:rPr>
        <w:t>171</w:t>
      </w:r>
      <w:r w:rsidR="008B27BA" w:rsidRPr="00E373F6">
        <w:rPr>
          <w:rFonts w:ascii="Times New Roman" w:hAnsi="Times New Roman"/>
          <w:sz w:val="24"/>
          <w:szCs w:val="24"/>
        </w:rPr>
        <w:t xml:space="preserve"> </w:t>
      </w:r>
      <w:r w:rsidR="005C7713" w:rsidRPr="00E373F6">
        <w:rPr>
          <w:rFonts w:ascii="Times New Roman" w:hAnsi="Times New Roman"/>
          <w:sz w:val="24"/>
          <w:szCs w:val="24"/>
        </w:rPr>
        <w:t xml:space="preserve">téves jelzés </w:t>
      </w:r>
      <w:r w:rsidR="00B609DC">
        <w:rPr>
          <w:rFonts w:ascii="Times New Roman" w:hAnsi="Times New Roman"/>
          <w:sz w:val="24"/>
          <w:szCs w:val="24"/>
        </w:rPr>
        <w:t xml:space="preserve">volt és </w:t>
      </w:r>
      <w:r w:rsidR="00CA357B">
        <w:rPr>
          <w:rFonts w:ascii="Times New Roman" w:hAnsi="Times New Roman"/>
          <w:sz w:val="24"/>
          <w:szCs w:val="24"/>
        </w:rPr>
        <w:t>55</w:t>
      </w:r>
      <w:r w:rsidR="005C7713" w:rsidRPr="00E373F6">
        <w:rPr>
          <w:rFonts w:ascii="Times New Roman" w:hAnsi="Times New Roman"/>
          <w:sz w:val="24"/>
          <w:szCs w:val="24"/>
        </w:rPr>
        <w:t xml:space="preserve"> </w:t>
      </w:r>
      <w:r w:rsidR="00B609DC">
        <w:rPr>
          <w:rFonts w:ascii="Times New Roman" w:hAnsi="Times New Roman"/>
          <w:sz w:val="24"/>
          <w:szCs w:val="24"/>
        </w:rPr>
        <w:t xml:space="preserve">esetet </w:t>
      </w:r>
      <w:r w:rsidR="005C7713" w:rsidRPr="00E373F6">
        <w:rPr>
          <w:rFonts w:ascii="Times New Roman" w:hAnsi="Times New Roman"/>
          <w:sz w:val="24"/>
          <w:szCs w:val="24"/>
        </w:rPr>
        <w:t>kiérkez</w:t>
      </w:r>
      <w:r w:rsidR="00154ECD">
        <w:rPr>
          <w:rFonts w:ascii="Times New Roman" w:hAnsi="Times New Roman"/>
          <w:sz w:val="24"/>
          <w:szCs w:val="24"/>
        </w:rPr>
        <w:t>és előtt felszámolt</w:t>
      </w:r>
      <w:r w:rsidR="00B609DC">
        <w:rPr>
          <w:rFonts w:ascii="Times New Roman" w:hAnsi="Times New Roman"/>
          <w:sz w:val="24"/>
          <w:szCs w:val="24"/>
        </w:rPr>
        <w:t>ak</w:t>
      </w:r>
      <w:r w:rsidRPr="00E373F6">
        <w:rPr>
          <w:rFonts w:ascii="Times New Roman" w:hAnsi="Times New Roman"/>
          <w:sz w:val="24"/>
          <w:szCs w:val="24"/>
        </w:rPr>
        <w:t>.</w:t>
      </w:r>
      <w:r w:rsidR="005C7713" w:rsidRPr="00E373F6">
        <w:rPr>
          <w:rFonts w:ascii="Times New Roman" w:hAnsi="Times New Roman"/>
          <w:sz w:val="24"/>
          <w:szCs w:val="24"/>
        </w:rPr>
        <w:t xml:space="preserve"> </w:t>
      </w:r>
      <w:r w:rsidR="00CA357B">
        <w:rPr>
          <w:rFonts w:ascii="Times New Roman" w:hAnsi="Times New Roman"/>
          <w:sz w:val="24"/>
          <w:szCs w:val="24"/>
        </w:rPr>
        <w:t xml:space="preserve">2024-ben </w:t>
      </w:r>
      <w:r w:rsidR="00B609DC">
        <w:rPr>
          <w:rFonts w:ascii="Times New Roman" w:hAnsi="Times New Roman"/>
          <w:sz w:val="24"/>
          <w:szCs w:val="24"/>
        </w:rPr>
        <w:t xml:space="preserve">emelkedtek az okos-eszközök jelzései (pl. </w:t>
      </w:r>
      <w:proofErr w:type="spellStart"/>
      <w:r w:rsidR="00B609DC">
        <w:rPr>
          <w:rFonts w:ascii="Times New Roman" w:hAnsi="Times New Roman"/>
          <w:sz w:val="24"/>
          <w:szCs w:val="24"/>
        </w:rPr>
        <w:t>gondos</w:t>
      </w:r>
      <w:r w:rsidR="00CA357B">
        <w:rPr>
          <w:rFonts w:ascii="Times New Roman" w:hAnsi="Times New Roman"/>
          <w:sz w:val="24"/>
          <w:szCs w:val="24"/>
        </w:rPr>
        <w:t>ór</w:t>
      </w:r>
      <w:r w:rsidR="00B609DC">
        <w:rPr>
          <w:rFonts w:ascii="Times New Roman" w:hAnsi="Times New Roman"/>
          <w:sz w:val="24"/>
          <w:szCs w:val="24"/>
        </w:rPr>
        <w:t>a</w:t>
      </w:r>
      <w:proofErr w:type="spellEnd"/>
      <w:r w:rsidR="00B609DC">
        <w:rPr>
          <w:rFonts w:ascii="Times New Roman" w:hAnsi="Times New Roman"/>
          <w:sz w:val="24"/>
          <w:szCs w:val="24"/>
        </w:rPr>
        <w:t>)</w:t>
      </w:r>
      <w:r w:rsidR="00CA357B">
        <w:rPr>
          <w:rFonts w:ascii="Times New Roman" w:hAnsi="Times New Roman"/>
          <w:sz w:val="24"/>
          <w:szCs w:val="24"/>
        </w:rPr>
        <w:t>.</w:t>
      </w:r>
    </w:p>
    <w:p w14:paraId="07A768E9" w14:textId="1E93A6F7" w:rsidR="001B7988" w:rsidRPr="00E373F6" w:rsidRDefault="00CA357B" w:rsidP="00023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21791BFD" wp14:editId="4615E54D">
            <wp:extent cx="5760720" cy="3552825"/>
            <wp:effectExtent l="0" t="0" r="11430" b="9525"/>
            <wp:docPr id="1613528109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C4BAF1-D246-8076-B9F0-6A4C28DE95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8C3624" w14:textId="77777777" w:rsidR="000233BC" w:rsidRPr="00B83BBE" w:rsidRDefault="000233BC" w:rsidP="000233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5D05DD84" w14:textId="77777777" w:rsidR="000233BC" w:rsidRDefault="000233BC" w:rsidP="000233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627D6A24" w14:textId="77777777" w:rsidR="000233BC" w:rsidRPr="00B83BBE" w:rsidRDefault="000233BC" w:rsidP="000233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14:paraId="49FC87CC" w14:textId="0CE800E3" w:rsidR="007E53F3" w:rsidRDefault="007E53F3" w:rsidP="007E53F3">
      <w:pPr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3F6">
        <w:rPr>
          <w:rFonts w:ascii="Times New Roman" w:hAnsi="Times New Roman"/>
          <w:sz w:val="24"/>
          <w:szCs w:val="24"/>
        </w:rPr>
        <w:t xml:space="preserve">Érd HTP állománya </w:t>
      </w:r>
      <w:r>
        <w:rPr>
          <w:rFonts w:ascii="Times New Roman" w:hAnsi="Times New Roman"/>
          <w:sz w:val="24"/>
          <w:szCs w:val="24"/>
        </w:rPr>
        <w:t>30</w:t>
      </w:r>
      <w:r w:rsidRPr="00E373F6">
        <w:rPr>
          <w:rFonts w:ascii="Times New Roman" w:hAnsi="Times New Roman"/>
          <w:sz w:val="24"/>
          <w:szCs w:val="24"/>
        </w:rPr>
        <w:t xml:space="preserve"> személyt mentett m</w:t>
      </w:r>
      <w:r w:rsidR="00B609DC">
        <w:rPr>
          <w:rFonts w:ascii="Times New Roman" w:hAnsi="Times New Roman"/>
          <w:sz w:val="24"/>
          <w:szCs w:val="24"/>
        </w:rPr>
        <w:t>eg tűzesetek és műszaki mentések során</w:t>
      </w:r>
      <w:r w:rsidR="00625C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50%</w:t>
      </w:r>
      <w:r w:rsidR="00625C11">
        <w:rPr>
          <w:rFonts w:ascii="Times New Roman" w:hAnsi="Times New Roman"/>
          <w:sz w:val="24"/>
          <w:szCs w:val="24"/>
        </w:rPr>
        <w:t>-kal</w:t>
      </w:r>
      <w:r>
        <w:rPr>
          <w:rFonts w:ascii="Times New Roman" w:hAnsi="Times New Roman"/>
          <w:sz w:val="24"/>
          <w:szCs w:val="24"/>
        </w:rPr>
        <w:t xml:space="preserve"> több </w:t>
      </w:r>
      <w:r w:rsidR="00CF6705">
        <w:rPr>
          <w:rFonts w:ascii="Times New Roman" w:hAnsi="Times New Roman"/>
          <w:sz w:val="24"/>
          <w:szCs w:val="24"/>
        </w:rPr>
        <w:t xml:space="preserve">embert, </w:t>
      </w:r>
      <w:r>
        <w:rPr>
          <w:rFonts w:ascii="Times New Roman" w:hAnsi="Times New Roman"/>
          <w:sz w:val="24"/>
          <w:szCs w:val="24"/>
        </w:rPr>
        <w:t xml:space="preserve">mint 2023-ban. </w:t>
      </w:r>
      <w:r w:rsidR="00B609D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állomány elsősegély</w:t>
      </w:r>
      <w:r w:rsidR="00B609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nyújtási kiképzés</w:t>
      </w:r>
      <w:r w:rsidR="00B609DC">
        <w:rPr>
          <w:rFonts w:ascii="Times New Roman" w:hAnsi="Times New Roman"/>
          <w:sz w:val="24"/>
          <w:szCs w:val="24"/>
        </w:rPr>
        <w:t xml:space="preserve">e eredményes volt, amelyet folytatni kell. </w:t>
      </w:r>
    </w:p>
    <w:p w14:paraId="77F286D5" w14:textId="0257B2C1" w:rsidR="007E53F3" w:rsidRPr="00E373F6" w:rsidRDefault="007E53F3" w:rsidP="007E5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40%</w:t>
      </w:r>
      <w:r w:rsidR="00625C11">
        <w:rPr>
          <w:rFonts w:ascii="Times New Roman" w:hAnsi="Times New Roman"/>
          <w:sz w:val="24"/>
          <w:szCs w:val="24"/>
        </w:rPr>
        <w:t>-kal</w:t>
      </w:r>
      <w:r>
        <w:rPr>
          <w:rFonts w:ascii="Times New Roman" w:hAnsi="Times New Roman"/>
          <w:sz w:val="24"/>
          <w:szCs w:val="24"/>
        </w:rPr>
        <w:t xml:space="preserve"> csökkent a gá</w:t>
      </w:r>
      <w:r w:rsidRPr="00E373F6">
        <w:rPr>
          <w:rFonts w:ascii="Times New Roman" w:hAnsi="Times New Roman"/>
          <w:sz w:val="24"/>
          <w:szCs w:val="24"/>
        </w:rPr>
        <w:t>zszivárgásnál</w:t>
      </w:r>
      <w:r w:rsidR="00B609DC">
        <w:rPr>
          <w:rFonts w:ascii="Times New Roman" w:hAnsi="Times New Roman"/>
          <w:sz w:val="24"/>
          <w:szCs w:val="24"/>
        </w:rPr>
        <w:t xml:space="preserve"> történt</w:t>
      </w:r>
      <w:r>
        <w:rPr>
          <w:rFonts w:ascii="Times New Roman" w:hAnsi="Times New Roman"/>
          <w:sz w:val="24"/>
          <w:szCs w:val="24"/>
        </w:rPr>
        <w:t xml:space="preserve"> beavatkozás</w:t>
      </w:r>
      <w:r w:rsidR="00B609DC">
        <w:rPr>
          <w:rFonts w:ascii="Times New Roman" w:hAnsi="Times New Roman"/>
          <w:sz w:val="24"/>
          <w:szCs w:val="24"/>
        </w:rPr>
        <w:t>ok száma</w:t>
      </w:r>
      <w:r>
        <w:rPr>
          <w:rFonts w:ascii="Times New Roman" w:hAnsi="Times New Roman"/>
          <w:sz w:val="24"/>
          <w:szCs w:val="24"/>
        </w:rPr>
        <w:t xml:space="preserve">. </w:t>
      </w:r>
      <w:r w:rsidR="00B609D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ovábbra is nagy figyelmet kell fordítani a s</w:t>
      </w:r>
      <w:r w:rsidRPr="00E373F6">
        <w:rPr>
          <w:rFonts w:ascii="Times New Roman" w:hAnsi="Times New Roman"/>
          <w:sz w:val="24"/>
          <w:szCs w:val="24"/>
        </w:rPr>
        <w:t>zén-monoxid</w:t>
      </w:r>
      <w:r w:rsidR="003E1395">
        <w:rPr>
          <w:rFonts w:ascii="Times New Roman" w:hAnsi="Times New Roman"/>
          <w:sz w:val="24"/>
          <w:szCs w:val="24"/>
        </w:rPr>
        <w:t>dal kapcsolatos</w:t>
      </w:r>
      <w:r w:rsidRPr="00E373F6">
        <w:rPr>
          <w:rFonts w:ascii="Times New Roman" w:hAnsi="Times New Roman"/>
          <w:sz w:val="24"/>
          <w:szCs w:val="24"/>
        </w:rPr>
        <w:t xml:space="preserve"> </w:t>
      </w:r>
      <w:r w:rsidR="00625C11">
        <w:rPr>
          <w:rFonts w:ascii="Times New Roman" w:hAnsi="Times New Roman"/>
          <w:sz w:val="24"/>
          <w:szCs w:val="24"/>
        </w:rPr>
        <w:t>káresetek megelőzésére</w:t>
      </w:r>
      <w:r w:rsidRPr="00E373F6">
        <w:rPr>
          <w:rFonts w:ascii="Times New Roman" w:hAnsi="Times New Roman"/>
          <w:sz w:val="24"/>
          <w:szCs w:val="24"/>
        </w:rPr>
        <w:t>.</w:t>
      </w:r>
    </w:p>
    <w:p w14:paraId="39B9F143" w14:textId="6FAC5014" w:rsidR="00916597" w:rsidRPr="00E373F6" w:rsidRDefault="00916597" w:rsidP="00CA357B">
      <w:pPr>
        <w:jc w:val="both"/>
        <w:rPr>
          <w:rFonts w:ascii="Times New Roman" w:hAnsi="Times New Roman"/>
          <w:sz w:val="24"/>
          <w:szCs w:val="24"/>
        </w:rPr>
      </w:pPr>
    </w:p>
    <w:p w14:paraId="08535A9D" w14:textId="77777777" w:rsidR="000233BC" w:rsidRDefault="000233BC" w:rsidP="00023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CA9A584" wp14:editId="5F37ECEF">
            <wp:extent cx="5467350" cy="3176588"/>
            <wp:effectExtent l="0" t="0" r="0" b="5080"/>
            <wp:docPr id="1831484343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864235-0B4A-7571-3925-85ABC5691C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B73041" w14:textId="77777777" w:rsidR="000233BC" w:rsidRPr="00B83BBE" w:rsidRDefault="000233BC" w:rsidP="000233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83BBE">
        <w:rPr>
          <w:rFonts w:ascii="Times New Roman" w:hAnsi="Times New Roman"/>
          <w:i/>
          <w:color w:val="000000"/>
          <w:sz w:val="24"/>
          <w:szCs w:val="24"/>
        </w:rPr>
        <w:lastRenderedPageBreak/>
        <w:t>Esem</w:t>
      </w:r>
      <w:r>
        <w:rPr>
          <w:rFonts w:ascii="Times New Roman" w:hAnsi="Times New Roman"/>
          <w:i/>
          <w:color w:val="000000"/>
          <w:sz w:val="24"/>
          <w:szCs w:val="24"/>
        </w:rPr>
        <w:t>ények megoszlása éves bontásban</w:t>
      </w:r>
    </w:p>
    <w:p w14:paraId="4EC2F5B2" w14:textId="77777777" w:rsidR="000233BC" w:rsidRPr="00B83BBE" w:rsidRDefault="000233BC" w:rsidP="000233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B83BBE">
        <w:rPr>
          <w:rFonts w:ascii="Times New Roman" w:hAnsi="Times New Roman"/>
          <w:i/>
          <w:color w:val="000000"/>
          <w:sz w:val="16"/>
          <w:szCs w:val="16"/>
        </w:rPr>
        <w:t>forrás: saját adat</w:t>
      </w:r>
    </w:p>
    <w:p w14:paraId="18DBD52A" w14:textId="77777777" w:rsidR="000233BC" w:rsidRDefault="000233BC" w:rsidP="000233B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947"/>
        <w:gridCol w:w="850"/>
        <w:gridCol w:w="992"/>
        <w:gridCol w:w="1134"/>
        <w:gridCol w:w="2977"/>
      </w:tblGrid>
      <w:tr w:rsidR="00796EA3" w:rsidRPr="00763E94" w14:paraId="4C2EEF7A" w14:textId="77777777" w:rsidTr="00684C58">
        <w:tc>
          <w:tcPr>
            <w:tcW w:w="1888" w:type="dxa"/>
            <w:shd w:val="clear" w:color="auto" w:fill="auto"/>
          </w:tcPr>
          <w:p w14:paraId="2920CFF2" w14:textId="77777777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94">
              <w:rPr>
                <w:rFonts w:ascii="Times New Roman" w:hAnsi="Times New Roman"/>
                <w:b/>
                <w:color w:val="000000"/>
              </w:rPr>
              <w:t>Település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6AD65133" w14:textId="5559C39A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94">
              <w:rPr>
                <w:rFonts w:ascii="Times New Roman" w:hAnsi="Times New Roman"/>
                <w:b/>
                <w:color w:val="000000"/>
              </w:rPr>
              <w:t>Tűzeset</w:t>
            </w:r>
            <w:r w:rsidRPr="00763E94">
              <w:rPr>
                <w:rFonts w:ascii="Times New Roman" w:hAnsi="Times New Roman"/>
                <w:b/>
                <w:color w:val="000000"/>
              </w:rPr>
              <w:br/>
              <w:t>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763E94">
              <w:rPr>
                <w:rFonts w:ascii="Times New Roman" w:hAnsi="Times New Roman"/>
                <w:b/>
                <w:color w:val="000000"/>
              </w:rPr>
              <w:t>.        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763E9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F60D03" w14:textId="77777777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94">
              <w:rPr>
                <w:rFonts w:ascii="Times New Roman" w:hAnsi="Times New Roman"/>
                <w:b/>
                <w:color w:val="000000"/>
              </w:rPr>
              <w:t>Műszaki Mentés</w:t>
            </w:r>
          </w:p>
          <w:p w14:paraId="0C5DECC2" w14:textId="4775C7CD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94">
              <w:rPr>
                <w:rFonts w:ascii="Times New Roman" w:hAnsi="Times New Roman"/>
                <w:b/>
                <w:color w:val="000000"/>
              </w:rPr>
              <w:t>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763E94">
              <w:rPr>
                <w:rFonts w:ascii="Times New Roman" w:hAnsi="Times New Roman"/>
                <w:b/>
                <w:color w:val="000000"/>
              </w:rPr>
              <w:t>.             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763E9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A507897" w14:textId="77777777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94">
              <w:rPr>
                <w:rFonts w:ascii="Times New Roman" w:hAnsi="Times New Roman"/>
                <w:b/>
                <w:color w:val="000000"/>
              </w:rPr>
              <w:t>Megjegyzés</w:t>
            </w:r>
          </w:p>
        </w:tc>
      </w:tr>
      <w:tr w:rsidR="00796EA3" w:rsidRPr="00763E94" w14:paraId="2CCA2A3A" w14:textId="77777777" w:rsidTr="00684C58">
        <w:tc>
          <w:tcPr>
            <w:tcW w:w="1888" w:type="dxa"/>
            <w:shd w:val="clear" w:color="auto" w:fill="auto"/>
            <w:vAlign w:val="bottom"/>
          </w:tcPr>
          <w:p w14:paraId="3FA6051F" w14:textId="77777777" w:rsidR="00796EA3" w:rsidRPr="00763E94" w:rsidRDefault="00796EA3" w:rsidP="00684C5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shd w:val="clear" w:color="auto" w:fill="auto"/>
            <w:vAlign w:val="bottom"/>
          </w:tcPr>
          <w:p w14:paraId="5F1F3C05" w14:textId="77777777" w:rsidR="00796EA3" w:rsidRPr="00941412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1412">
              <w:rPr>
                <w:rFonts w:ascii="Times New Roman" w:hAnsi="Times New Roman"/>
                <w:b/>
                <w:color w:val="000000"/>
              </w:rPr>
              <w:t>db</w:t>
            </w:r>
          </w:p>
        </w:tc>
        <w:tc>
          <w:tcPr>
            <w:tcW w:w="850" w:type="dxa"/>
          </w:tcPr>
          <w:p w14:paraId="4C4E69C7" w14:textId="77777777" w:rsidR="00796EA3" w:rsidRPr="00941412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1412">
              <w:rPr>
                <w:rFonts w:ascii="Times New Roman" w:hAnsi="Times New Roman"/>
                <w:b/>
                <w:color w:val="000000"/>
              </w:rPr>
              <w:t>db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3CC896" w14:textId="77777777" w:rsidR="00796EA3" w:rsidRPr="00941412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1412">
              <w:rPr>
                <w:rFonts w:ascii="Times New Roman" w:hAnsi="Times New Roman"/>
                <w:b/>
                <w:color w:val="000000"/>
              </w:rPr>
              <w:t>db</w:t>
            </w:r>
          </w:p>
        </w:tc>
        <w:tc>
          <w:tcPr>
            <w:tcW w:w="1134" w:type="dxa"/>
          </w:tcPr>
          <w:p w14:paraId="71E825C4" w14:textId="77777777" w:rsidR="00796EA3" w:rsidRPr="00941412" w:rsidRDefault="00796EA3" w:rsidP="00684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1412">
              <w:rPr>
                <w:rFonts w:ascii="Times New Roman" w:hAnsi="Times New Roman"/>
                <w:b/>
                <w:color w:val="000000"/>
              </w:rPr>
              <w:t>db</w:t>
            </w:r>
          </w:p>
        </w:tc>
        <w:tc>
          <w:tcPr>
            <w:tcW w:w="2977" w:type="dxa"/>
            <w:shd w:val="clear" w:color="auto" w:fill="auto"/>
          </w:tcPr>
          <w:p w14:paraId="71FDB308" w14:textId="77777777" w:rsidR="00796EA3" w:rsidRPr="00763E94" w:rsidRDefault="00796EA3" w:rsidP="00684C5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4A8F2229" w14:textId="77777777" w:rsidTr="00684C58">
        <w:tc>
          <w:tcPr>
            <w:tcW w:w="1888" w:type="dxa"/>
            <w:shd w:val="clear" w:color="auto" w:fill="auto"/>
            <w:vAlign w:val="bottom"/>
          </w:tcPr>
          <w:p w14:paraId="62C2B155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Baracska</w:t>
            </w:r>
          </w:p>
        </w:tc>
        <w:tc>
          <w:tcPr>
            <w:tcW w:w="947" w:type="dxa"/>
            <w:shd w:val="clear" w:color="auto" w:fill="auto"/>
          </w:tcPr>
          <w:p w14:paraId="621A07E8" w14:textId="395FB1C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14:paraId="1BAE3D0E" w14:textId="4079941B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68F989" w14:textId="3A4632CF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</w:tcPr>
          <w:p w14:paraId="0439C022" w14:textId="03B75E45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8C9724" w14:textId="6C5EB3E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0089F799" w14:textId="77777777" w:rsidTr="00684C58">
        <w:tc>
          <w:tcPr>
            <w:tcW w:w="1888" w:type="dxa"/>
            <w:shd w:val="clear" w:color="auto" w:fill="auto"/>
            <w:vAlign w:val="bottom"/>
          </w:tcPr>
          <w:p w14:paraId="701E4FD1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Biatorbágy</w:t>
            </w:r>
          </w:p>
        </w:tc>
        <w:tc>
          <w:tcPr>
            <w:tcW w:w="947" w:type="dxa"/>
            <w:shd w:val="clear" w:color="auto" w:fill="auto"/>
          </w:tcPr>
          <w:p w14:paraId="55E8E55C" w14:textId="0BFB4C4A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50" w:type="dxa"/>
          </w:tcPr>
          <w:p w14:paraId="62B3CB91" w14:textId="4033D4A6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26956F04" w14:textId="5E3C808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</w:tcPr>
          <w:p w14:paraId="4DD0B129" w14:textId="3F46A4C3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5A296163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094628B1" w14:textId="77777777" w:rsidTr="00684C58">
        <w:tc>
          <w:tcPr>
            <w:tcW w:w="1888" w:type="dxa"/>
            <w:shd w:val="clear" w:color="auto" w:fill="auto"/>
            <w:vAlign w:val="bottom"/>
          </w:tcPr>
          <w:p w14:paraId="47EC59E2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Budaörs</w:t>
            </w:r>
          </w:p>
        </w:tc>
        <w:tc>
          <w:tcPr>
            <w:tcW w:w="947" w:type="dxa"/>
            <w:shd w:val="clear" w:color="auto" w:fill="auto"/>
          </w:tcPr>
          <w:p w14:paraId="514120DF" w14:textId="2184024C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50" w:type="dxa"/>
          </w:tcPr>
          <w:p w14:paraId="4A96F449" w14:textId="69E8DF7D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1C26763B" w14:textId="7E6678C6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113</w:t>
            </w:r>
          </w:p>
        </w:tc>
        <w:tc>
          <w:tcPr>
            <w:tcW w:w="1134" w:type="dxa"/>
          </w:tcPr>
          <w:p w14:paraId="0A926385" w14:textId="60728181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2D008DA1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41D76437" w14:textId="77777777" w:rsidTr="00684C58">
        <w:tc>
          <w:tcPr>
            <w:tcW w:w="1888" w:type="dxa"/>
            <w:shd w:val="clear" w:color="auto" w:fill="auto"/>
            <w:vAlign w:val="bottom"/>
          </w:tcPr>
          <w:p w14:paraId="6393C18D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Diósd</w:t>
            </w:r>
          </w:p>
        </w:tc>
        <w:tc>
          <w:tcPr>
            <w:tcW w:w="947" w:type="dxa"/>
            <w:shd w:val="clear" w:color="auto" w:fill="auto"/>
          </w:tcPr>
          <w:p w14:paraId="3675215B" w14:textId="4EBB183A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14:paraId="468D5F73" w14:textId="20CAA001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38938BE1" w14:textId="3B7D05A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134" w:type="dxa"/>
          </w:tcPr>
          <w:p w14:paraId="0F6A0D0F" w14:textId="6741EE6D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7283B583" w14:textId="5A315A6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12B9C594" w14:textId="77777777" w:rsidTr="00684C58">
        <w:tc>
          <w:tcPr>
            <w:tcW w:w="1888" w:type="dxa"/>
            <w:shd w:val="clear" w:color="auto" w:fill="auto"/>
            <w:vAlign w:val="bottom"/>
          </w:tcPr>
          <w:p w14:paraId="7F2C751B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Ercsi</w:t>
            </w:r>
          </w:p>
        </w:tc>
        <w:tc>
          <w:tcPr>
            <w:tcW w:w="947" w:type="dxa"/>
            <w:shd w:val="clear" w:color="auto" w:fill="auto"/>
          </w:tcPr>
          <w:p w14:paraId="679598EC" w14:textId="7EA6B01B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</w:t>
            </w:r>
          </w:p>
        </w:tc>
        <w:tc>
          <w:tcPr>
            <w:tcW w:w="850" w:type="dxa"/>
          </w:tcPr>
          <w:p w14:paraId="71188959" w14:textId="63EAAE2F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14:paraId="5559FF96" w14:textId="55DCA44D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1134" w:type="dxa"/>
          </w:tcPr>
          <w:p w14:paraId="78AEF8D4" w14:textId="202AB1D0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6B8CC6F6" w14:textId="0828398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7ABCA3A0" w14:textId="77777777" w:rsidTr="00684C58">
        <w:tc>
          <w:tcPr>
            <w:tcW w:w="1888" w:type="dxa"/>
            <w:shd w:val="clear" w:color="auto" w:fill="auto"/>
            <w:vAlign w:val="bottom"/>
          </w:tcPr>
          <w:p w14:paraId="7BDD7C21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Érd</w:t>
            </w:r>
          </w:p>
        </w:tc>
        <w:tc>
          <w:tcPr>
            <w:tcW w:w="947" w:type="dxa"/>
            <w:shd w:val="clear" w:color="auto" w:fill="auto"/>
          </w:tcPr>
          <w:p w14:paraId="7AEFF51F" w14:textId="47E55BB3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850" w:type="dxa"/>
          </w:tcPr>
          <w:p w14:paraId="629B9F45" w14:textId="6D08B408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073A0165" w14:textId="3D529500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241</w:t>
            </w:r>
          </w:p>
        </w:tc>
        <w:tc>
          <w:tcPr>
            <w:tcW w:w="1134" w:type="dxa"/>
          </w:tcPr>
          <w:p w14:paraId="575445AC" w14:textId="73A5CE56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</w:t>
            </w:r>
          </w:p>
        </w:tc>
        <w:tc>
          <w:tcPr>
            <w:tcW w:w="2977" w:type="dxa"/>
            <w:shd w:val="clear" w:color="auto" w:fill="auto"/>
          </w:tcPr>
          <w:p w14:paraId="5701CA59" w14:textId="0A33A1B9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582E6501" w14:textId="77777777" w:rsidTr="00684C58">
        <w:tc>
          <w:tcPr>
            <w:tcW w:w="1888" w:type="dxa"/>
            <w:shd w:val="clear" w:color="auto" w:fill="auto"/>
            <w:vAlign w:val="bottom"/>
          </w:tcPr>
          <w:p w14:paraId="31DE3586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Etyek</w:t>
            </w:r>
          </w:p>
        </w:tc>
        <w:tc>
          <w:tcPr>
            <w:tcW w:w="947" w:type="dxa"/>
            <w:shd w:val="clear" w:color="auto" w:fill="auto"/>
          </w:tcPr>
          <w:p w14:paraId="34B82E05" w14:textId="097F988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14:paraId="18CA5594" w14:textId="01EF820F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41C77D" w14:textId="21A367BC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1134" w:type="dxa"/>
          </w:tcPr>
          <w:p w14:paraId="678ECD24" w14:textId="3AE9AB0F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C60C9E6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6500A701" w14:textId="77777777" w:rsidTr="00684C58">
        <w:tc>
          <w:tcPr>
            <w:tcW w:w="1888" w:type="dxa"/>
            <w:shd w:val="clear" w:color="auto" w:fill="auto"/>
            <w:vAlign w:val="bottom"/>
          </w:tcPr>
          <w:p w14:paraId="06E5B94C" w14:textId="77777777" w:rsidR="00796EA3" w:rsidRPr="00763E94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Gyúró</w:t>
            </w:r>
          </w:p>
        </w:tc>
        <w:tc>
          <w:tcPr>
            <w:tcW w:w="947" w:type="dxa"/>
            <w:shd w:val="clear" w:color="auto" w:fill="auto"/>
          </w:tcPr>
          <w:p w14:paraId="36025B99" w14:textId="605A5B02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14:paraId="1380BEE6" w14:textId="5C5D2355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282784" w14:textId="7165A93A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</w:tcPr>
          <w:p w14:paraId="1880C201" w14:textId="315434FE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E9F6C0B" w14:textId="79CFFA1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0AF0D757" w14:textId="77777777" w:rsidTr="00684C58">
        <w:tc>
          <w:tcPr>
            <w:tcW w:w="1888" w:type="dxa"/>
            <w:shd w:val="clear" w:color="auto" w:fill="auto"/>
            <w:vAlign w:val="bottom"/>
          </w:tcPr>
          <w:p w14:paraId="6513B65D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Herceghalom</w:t>
            </w:r>
          </w:p>
        </w:tc>
        <w:tc>
          <w:tcPr>
            <w:tcW w:w="947" w:type="dxa"/>
            <w:shd w:val="clear" w:color="auto" w:fill="auto"/>
          </w:tcPr>
          <w:p w14:paraId="4048084B" w14:textId="26D2A923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14:paraId="2672FE6A" w14:textId="7C216252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96E1D4" w14:textId="546894B2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1134" w:type="dxa"/>
          </w:tcPr>
          <w:p w14:paraId="4B625A22" w14:textId="0681C640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7289535" w14:textId="3ABA33ED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2125AB75" w14:textId="77777777" w:rsidTr="00684C58">
        <w:tc>
          <w:tcPr>
            <w:tcW w:w="1888" w:type="dxa"/>
            <w:shd w:val="clear" w:color="auto" w:fill="auto"/>
            <w:vAlign w:val="bottom"/>
          </w:tcPr>
          <w:p w14:paraId="5481EA37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Kajászó</w:t>
            </w:r>
          </w:p>
        </w:tc>
        <w:tc>
          <w:tcPr>
            <w:tcW w:w="947" w:type="dxa"/>
            <w:shd w:val="clear" w:color="auto" w:fill="auto"/>
          </w:tcPr>
          <w:p w14:paraId="17031002" w14:textId="38EC483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14:paraId="6B89CFE6" w14:textId="3F9EA463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F9AD15" w14:textId="3E69A0E8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134" w:type="dxa"/>
          </w:tcPr>
          <w:p w14:paraId="2571C24B" w14:textId="3B9F2DC9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8376B8C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783FDA8C" w14:textId="77777777" w:rsidTr="00684C58">
        <w:tc>
          <w:tcPr>
            <w:tcW w:w="1888" w:type="dxa"/>
            <w:shd w:val="clear" w:color="auto" w:fill="auto"/>
            <w:vAlign w:val="bottom"/>
          </w:tcPr>
          <w:p w14:paraId="3D2F79ED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Martonvásár</w:t>
            </w:r>
          </w:p>
        </w:tc>
        <w:tc>
          <w:tcPr>
            <w:tcW w:w="947" w:type="dxa"/>
            <w:shd w:val="clear" w:color="auto" w:fill="auto"/>
          </w:tcPr>
          <w:p w14:paraId="61654B71" w14:textId="6205360B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14:paraId="060C1FCC" w14:textId="441552CA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A2C7E3F" w14:textId="66DDF41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1134" w:type="dxa"/>
          </w:tcPr>
          <w:p w14:paraId="37F40603" w14:textId="435704E0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79773BD" w14:textId="1466D069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5855FA7E" w14:textId="77777777" w:rsidTr="00684C58">
        <w:tc>
          <w:tcPr>
            <w:tcW w:w="1888" w:type="dxa"/>
            <w:shd w:val="clear" w:color="auto" w:fill="auto"/>
            <w:vAlign w:val="bottom"/>
          </w:tcPr>
          <w:p w14:paraId="44B0123D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Páty</w:t>
            </w:r>
          </w:p>
        </w:tc>
        <w:tc>
          <w:tcPr>
            <w:tcW w:w="947" w:type="dxa"/>
            <w:shd w:val="clear" w:color="auto" w:fill="auto"/>
          </w:tcPr>
          <w:p w14:paraId="31B87EDC" w14:textId="342B73C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0" w:type="dxa"/>
          </w:tcPr>
          <w:p w14:paraId="0DE78974" w14:textId="0115EDA6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690DE37" w14:textId="7E72F5C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1134" w:type="dxa"/>
          </w:tcPr>
          <w:p w14:paraId="7EA9AADC" w14:textId="79A9A0AC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4E0CB3AE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78B2243A" w14:textId="77777777" w:rsidTr="00684C58">
        <w:tc>
          <w:tcPr>
            <w:tcW w:w="1888" w:type="dxa"/>
            <w:shd w:val="clear" w:color="auto" w:fill="auto"/>
            <w:vAlign w:val="bottom"/>
          </w:tcPr>
          <w:p w14:paraId="75779D45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Pusztazámor</w:t>
            </w:r>
          </w:p>
        </w:tc>
        <w:tc>
          <w:tcPr>
            <w:tcW w:w="947" w:type="dxa"/>
            <w:shd w:val="clear" w:color="auto" w:fill="auto"/>
          </w:tcPr>
          <w:p w14:paraId="08D956AE" w14:textId="1A433998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14:paraId="14DF195F" w14:textId="414A99C0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DDD01EA" w14:textId="46C40378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14:paraId="329F54E3" w14:textId="7B85E8EE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5884B01" w14:textId="18900D26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32D1C22B" w14:textId="77777777" w:rsidTr="00684C58">
        <w:tc>
          <w:tcPr>
            <w:tcW w:w="1888" w:type="dxa"/>
            <w:shd w:val="clear" w:color="auto" w:fill="auto"/>
            <w:vAlign w:val="bottom"/>
          </w:tcPr>
          <w:p w14:paraId="6524AE1E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Ráckeresztúr</w:t>
            </w:r>
          </w:p>
        </w:tc>
        <w:tc>
          <w:tcPr>
            <w:tcW w:w="947" w:type="dxa"/>
            <w:shd w:val="clear" w:color="auto" w:fill="auto"/>
          </w:tcPr>
          <w:p w14:paraId="4B38A836" w14:textId="04764C26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0" w:type="dxa"/>
          </w:tcPr>
          <w:p w14:paraId="579A0E5C" w14:textId="78771437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C25CB18" w14:textId="0DE0BAEB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1134" w:type="dxa"/>
          </w:tcPr>
          <w:p w14:paraId="60ED323B" w14:textId="26D9E5BB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06ACEB76" w14:textId="69551EE1" w:rsidR="00796EA3" w:rsidRPr="00763E94" w:rsidRDefault="0088336B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3D7B9FC7" w14:textId="77777777" w:rsidTr="00684C58">
        <w:tc>
          <w:tcPr>
            <w:tcW w:w="1888" w:type="dxa"/>
            <w:shd w:val="clear" w:color="auto" w:fill="auto"/>
            <w:vAlign w:val="bottom"/>
          </w:tcPr>
          <w:p w14:paraId="3412BD38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Sóskút</w:t>
            </w:r>
          </w:p>
        </w:tc>
        <w:tc>
          <w:tcPr>
            <w:tcW w:w="947" w:type="dxa"/>
            <w:shd w:val="clear" w:color="auto" w:fill="auto"/>
          </w:tcPr>
          <w:p w14:paraId="4DF1DFC4" w14:textId="38AD82B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0" w:type="dxa"/>
          </w:tcPr>
          <w:p w14:paraId="5322348C" w14:textId="0B4F6F87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246D099" w14:textId="2FD5A2D2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</w:tcPr>
          <w:p w14:paraId="51BD7372" w14:textId="3EE26B8D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6C02AB89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439BEE92" w14:textId="77777777" w:rsidTr="00684C58">
        <w:tc>
          <w:tcPr>
            <w:tcW w:w="1888" w:type="dxa"/>
            <w:shd w:val="clear" w:color="auto" w:fill="auto"/>
            <w:vAlign w:val="bottom"/>
          </w:tcPr>
          <w:p w14:paraId="4AAD7C9E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Százhalombatta</w:t>
            </w:r>
          </w:p>
        </w:tc>
        <w:tc>
          <w:tcPr>
            <w:tcW w:w="947" w:type="dxa"/>
            <w:shd w:val="clear" w:color="auto" w:fill="auto"/>
          </w:tcPr>
          <w:p w14:paraId="7C92A5BE" w14:textId="082314AF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0" w:type="dxa"/>
          </w:tcPr>
          <w:p w14:paraId="20ED5CE4" w14:textId="33F837BE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D115BD6" w14:textId="31C80105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1134" w:type="dxa"/>
          </w:tcPr>
          <w:p w14:paraId="2DFD05BF" w14:textId="5C3B2E57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5ED24488" w14:textId="7777777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1AF4A291" w14:textId="77777777" w:rsidTr="00684C58">
        <w:tc>
          <w:tcPr>
            <w:tcW w:w="1888" w:type="dxa"/>
            <w:shd w:val="clear" w:color="auto" w:fill="auto"/>
            <w:vAlign w:val="bottom"/>
          </w:tcPr>
          <w:p w14:paraId="501C36B9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Tárnok</w:t>
            </w:r>
          </w:p>
        </w:tc>
        <w:tc>
          <w:tcPr>
            <w:tcW w:w="947" w:type="dxa"/>
            <w:shd w:val="clear" w:color="auto" w:fill="auto"/>
          </w:tcPr>
          <w:p w14:paraId="656C2F52" w14:textId="74539588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50" w:type="dxa"/>
          </w:tcPr>
          <w:p w14:paraId="02604E03" w14:textId="3325B119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439D67D0" w14:textId="6ED66C31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</w:tcPr>
          <w:p w14:paraId="08A45C2D" w14:textId="3C1CB420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2470EB03" w14:textId="2C4B4388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7F694A8A" w14:textId="77777777" w:rsidTr="00684C58">
        <w:tc>
          <w:tcPr>
            <w:tcW w:w="1888" w:type="dxa"/>
            <w:shd w:val="clear" w:color="auto" w:fill="auto"/>
            <w:vAlign w:val="bottom"/>
          </w:tcPr>
          <w:p w14:paraId="360D4B4D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Tordas</w:t>
            </w:r>
          </w:p>
        </w:tc>
        <w:tc>
          <w:tcPr>
            <w:tcW w:w="947" w:type="dxa"/>
            <w:shd w:val="clear" w:color="auto" w:fill="auto"/>
          </w:tcPr>
          <w:p w14:paraId="370E8C69" w14:textId="1CFE5271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14:paraId="442D5DE7" w14:textId="4807D5A9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7844E1" w14:textId="5C8F7397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14:paraId="6FF73D08" w14:textId="34370199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AED5F2D" w14:textId="4756004B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  <w:tr w:rsidR="00796EA3" w:rsidRPr="00763E94" w14:paraId="1DB9C34A" w14:textId="77777777" w:rsidTr="00684C58">
        <w:tc>
          <w:tcPr>
            <w:tcW w:w="1888" w:type="dxa"/>
            <w:shd w:val="clear" w:color="auto" w:fill="auto"/>
            <w:vAlign w:val="bottom"/>
          </w:tcPr>
          <w:p w14:paraId="055D8074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Törökbálint</w:t>
            </w:r>
          </w:p>
        </w:tc>
        <w:tc>
          <w:tcPr>
            <w:tcW w:w="947" w:type="dxa"/>
            <w:shd w:val="clear" w:color="auto" w:fill="auto"/>
          </w:tcPr>
          <w:p w14:paraId="6F15A067" w14:textId="137BF6ED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50" w:type="dxa"/>
          </w:tcPr>
          <w:p w14:paraId="2BB78D73" w14:textId="662B8CE5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3BBA3C56" w14:textId="214106B4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</w:t>
            </w:r>
          </w:p>
        </w:tc>
        <w:tc>
          <w:tcPr>
            <w:tcW w:w="1134" w:type="dxa"/>
          </w:tcPr>
          <w:p w14:paraId="72A9749F" w14:textId="1EEF67CA" w:rsidR="00796EA3" w:rsidRPr="00763E94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14:paraId="69EBFF9B" w14:textId="092D5CBC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96EA3" w:rsidRPr="00763E94" w14:paraId="4C8982A3" w14:textId="77777777" w:rsidTr="00684C58">
        <w:tc>
          <w:tcPr>
            <w:tcW w:w="1888" w:type="dxa"/>
            <w:shd w:val="clear" w:color="auto" w:fill="auto"/>
            <w:vAlign w:val="bottom"/>
          </w:tcPr>
          <w:p w14:paraId="7A85A986" w14:textId="77777777" w:rsidR="00796EA3" w:rsidRDefault="00796EA3" w:rsidP="00796EA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Vál</w:t>
            </w:r>
          </w:p>
        </w:tc>
        <w:tc>
          <w:tcPr>
            <w:tcW w:w="947" w:type="dxa"/>
            <w:shd w:val="clear" w:color="auto" w:fill="auto"/>
          </w:tcPr>
          <w:p w14:paraId="74C569FF" w14:textId="0263704E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0" w:type="dxa"/>
          </w:tcPr>
          <w:p w14:paraId="54804044" w14:textId="2FC91D36" w:rsidR="00796EA3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2E4871" w14:textId="7525169A" w:rsidR="00796EA3" w:rsidRPr="00763E94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134" w:type="dxa"/>
          </w:tcPr>
          <w:p w14:paraId="259E0BCA" w14:textId="616D7DA2" w:rsidR="00796EA3" w:rsidRDefault="007F5510" w:rsidP="00796E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B371E13" w14:textId="49562745" w:rsidR="00796EA3" w:rsidRDefault="00796EA3" w:rsidP="00796E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Fejér vármegye</w:t>
            </w:r>
          </w:p>
        </w:tc>
      </w:tr>
    </w:tbl>
    <w:p w14:paraId="4007C5E5" w14:textId="77777777" w:rsidR="0088336B" w:rsidRDefault="0088336B" w:rsidP="000233BC">
      <w:pPr>
        <w:jc w:val="center"/>
        <w:rPr>
          <w:rFonts w:ascii="Times New Roman" w:hAnsi="Times New Roman"/>
          <w:sz w:val="24"/>
          <w:szCs w:val="24"/>
        </w:rPr>
      </w:pPr>
    </w:p>
    <w:p w14:paraId="59C50B98" w14:textId="6A25E564" w:rsidR="00916597" w:rsidRPr="0015341A" w:rsidRDefault="00916597" w:rsidP="00D12EC4">
      <w:pPr>
        <w:pStyle w:val="Cmsor1"/>
        <w:spacing w:before="100" w:beforeAutospacing="1" w:after="100" w:afterAutospacing="1"/>
        <w:rPr>
          <w:b/>
        </w:rPr>
      </w:pPr>
      <w:bookmarkStart w:id="8" w:name="_Toc5110153"/>
      <w:bookmarkStart w:id="9" w:name="_Toc40190327"/>
      <w:bookmarkStart w:id="10" w:name="_Toc194919347"/>
      <w:r w:rsidRPr="007925AA">
        <w:rPr>
          <w:b/>
        </w:rPr>
        <w:t>Szakmai felügyeleti tevékenység, ellenőrzések</w:t>
      </w:r>
      <w:bookmarkEnd w:id="8"/>
      <w:bookmarkEnd w:id="9"/>
      <w:bookmarkEnd w:id="10"/>
    </w:p>
    <w:p w14:paraId="224CF459" w14:textId="398AF7CA" w:rsidR="007961E8" w:rsidRDefault="00C25C89" w:rsidP="00FE475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3D62BB">
        <w:rPr>
          <w:rFonts w:ascii="Times New Roman" w:hAnsi="Times New Roman"/>
          <w:sz w:val="24"/>
          <w:szCs w:val="24"/>
        </w:rPr>
        <w:t>Érd</w:t>
      </w:r>
      <w:r w:rsidR="00916597">
        <w:rPr>
          <w:rFonts w:ascii="Times New Roman" w:hAnsi="Times New Roman"/>
          <w:sz w:val="24"/>
          <w:szCs w:val="24"/>
        </w:rPr>
        <w:t xml:space="preserve"> HTP </w:t>
      </w:r>
      <w:r w:rsidR="007B3585" w:rsidRPr="007B3585">
        <w:rPr>
          <w:rFonts w:ascii="Times New Roman" w:hAnsi="Times New Roman"/>
          <w:sz w:val="24"/>
          <w:szCs w:val="24"/>
        </w:rPr>
        <w:t>9</w:t>
      </w:r>
      <w:r w:rsidR="00916597">
        <w:rPr>
          <w:rFonts w:ascii="Times New Roman" w:hAnsi="Times New Roman"/>
          <w:sz w:val="24"/>
          <w:szCs w:val="24"/>
        </w:rPr>
        <w:t xml:space="preserve"> önkéntes tűzoltó egyesület (</w:t>
      </w:r>
      <w:r w:rsidR="00B609DC">
        <w:rPr>
          <w:rFonts w:ascii="Times New Roman" w:hAnsi="Times New Roman"/>
          <w:sz w:val="24"/>
          <w:szCs w:val="24"/>
        </w:rPr>
        <w:t xml:space="preserve">a </w:t>
      </w:r>
      <w:r w:rsidR="00916597">
        <w:rPr>
          <w:rFonts w:ascii="Times New Roman" w:hAnsi="Times New Roman"/>
          <w:sz w:val="24"/>
          <w:szCs w:val="24"/>
        </w:rPr>
        <w:t>továbbiakban</w:t>
      </w:r>
      <w:r w:rsidR="00B609DC">
        <w:rPr>
          <w:rFonts w:ascii="Times New Roman" w:hAnsi="Times New Roman"/>
          <w:sz w:val="24"/>
          <w:szCs w:val="24"/>
        </w:rPr>
        <w:t>:</w:t>
      </w:r>
      <w:r w:rsidR="00916597">
        <w:rPr>
          <w:rFonts w:ascii="Times New Roman" w:hAnsi="Times New Roman"/>
          <w:sz w:val="24"/>
          <w:szCs w:val="24"/>
        </w:rPr>
        <w:t xml:space="preserve"> ÖTE)</w:t>
      </w:r>
      <w:r w:rsidR="00F027E5">
        <w:rPr>
          <w:rFonts w:ascii="Times New Roman" w:hAnsi="Times New Roman"/>
          <w:sz w:val="24"/>
          <w:szCs w:val="24"/>
        </w:rPr>
        <w:t>,</w:t>
      </w:r>
      <w:r w:rsidR="00916597" w:rsidRPr="007925AA">
        <w:rPr>
          <w:rFonts w:ascii="Times New Roman" w:hAnsi="Times New Roman"/>
          <w:sz w:val="24"/>
          <w:szCs w:val="24"/>
        </w:rPr>
        <w:t xml:space="preserve"> egy </w:t>
      </w:r>
      <w:r w:rsidR="00B609DC">
        <w:rPr>
          <w:rFonts w:ascii="Times New Roman" w:hAnsi="Times New Roman"/>
          <w:sz w:val="24"/>
          <w:szCs w:val="24"/>
        </w:rPr>
        <w:t>ö</w:t>
      </w:r>
      <w:r w:rsidR="00916597" w:rsidRPr="007925AA">
        <w:rPr>
          <w:rFonts w:ascii="Times New Roman" w:hAnsi="Times New Roman"/>
          <w:sz w:val="24"/>
          <w:szCs w:val="24"/>
        </w:rPr>
        <w:t>nko</w:t>
      </w:r>
      <w:r w:rsidR="00916597">
        <w:rPr>
          <w:rFonts w:ascii="Times New Roman" w:hAnsi="Times New Roman"/>
          <w:sz w:val="24"/>
          <w:szCs w:val="24"/>
        </w:rPr>
        <w:t xml:space="preserve">rmányzati </w:t>
      </w:r>
      <w:r w:rsidR="00B609DC">
        <w:rPr>
          <w:rFonts w:ascii="Times New Roman" w:hAnsi="Times New Roman"/>
          <w:sz w:val="24"/>
          <w:szCs w:val="24"/>
        </w:rPr>
        <w:t>t</w:t>
      </w:r>
      <w:r w:rsidR="00916597">
        <w:rPr>
          <w:rFonts w:ascii="Times New Roman" w:hAnsi="Times New Roman"/>
          <w:sz w:val="24"/>
          <w:szCs w:val="24"/>
        </w:rPr>
        <w:t xml:space="preserve">űzoltóság </w:t>
      </w:r>
      <w:r w:rsidR="00F027E5">
        <w:rPr>
          <w:rFonts w:ascii="Times New Roman" w:hAnsi="Times New Roman"/>
          <w:sz w:val="24"/>
          <w:szCs w:val="24"/>
        </w:rPr>
        <w:t xml:space="preserve">és a FER </w:t>
      </w:r>
      <w:r w:rsidR="007961E8">
        <w:rPr>
          <w:rFonts w:ascii="Times New Roman" w:hAnsi="Times New Roman"/>
          <w:sz w:val="24"/>
          <w:szCs w:val="24"/>
        </w:rPr>
        <w:t xml:space="preserve">Létesítményi </w:t>
      </w:r>
      <w:r w:rsidR="00F027E5">
        <w:rPr>
          <w:rFonts w:ascii="Times New Roman" w:hAnsi="Times New Roman"/>
          <w:sz w:val="24"/>
          <w:szCs w:val="24"/>
        </w:rPr>
        <w:t xml:space="preserve">Tűzoltóság százhalombattai erőinek </w:t>
      </w:r>
      <w:r w:rsidR="00916597" w:rsidRPr="007925AA">
        <w:rPr>
          <w:rFonts w:ascii="Times New Roman" w:hAnsi="Times New Roman"/>
          <w:sz w:val="24"/>
          <w:szCs w:val="24"/>
        </w:rPr>
        <w:t>szakmai felügyeletét látja el</w:t>
      </w:r>
      <w:r w:rsidR="00F027E5">
        <w:rPr>
          <w:rFonts w:ascii="Times New Roman" w:hAnsi="Times New Roman"/>
          <w:sz w:val="24"/>
          <w:szCs w:val="24"/>
        </w:rPr>
        <w:t xml:space="preserve">. </w:t>
      </w:r>
      <w:r w:rsidR="00B609DC">
        <w:rPr>
          <w:rFonts w:ascii="Times New Roman" w:hAnsi="Times New Roman"/>
          <w:sz w:val="24"/>
          <w:szCs w:val="24"/>
        </w:rPr>
        <w:t>F</w:t>
      </w:r>
      <w:r w:rsidR="00916597">
        <w:rPr>
          <w:rFonts w:ascii="Times New Roman" w:hAnsi="Times New Roman"/>
          <w:sz w:val="24"/>
          <w:szCs w:val="24"/>
        </w:rPr>
        <w:t>igyelemmel kísérjük a</w:t>
      </w:r>
      <w:r w:rsidR="00B609DC">
        <w:rPr>
          <w:rFonts w:ascii="Times New Roman" w:hAnsi="Times New Roman"/>
          <w:sz w:val="24"/>
          <w:szCs w:val="24"/>
        </w:rPr>
        <w:t xml:space="preserve"> szakmai fejlődést és a beavatkozáso</w:t>
      </w:r>
      <w:r w:rsidR="00916597" w:rsidRPr="007925AA">
        <w:rPr>
          <w:rFonts w:ascii="Times New Roman" w:hAnsi="Times New Roman"/>
          <w:sz w:val="24"/>
          <w:szCs w:val="24"/>
        </w:rPr>
        <w:t>k szakszerűségét.</w:t>
      </w:r>
      <w:r w:rsidR="00B609DC">
        <w:rPr>
          <w:rFonts w:ascii="Times New Roman" w:hAnsi="Times New Roman"/>
          <w:sz w:val="24"/>
          <w:szCs w:val="24"/>
        </w:rPr>
        <w:t xml:space="preserve"> E</w:t>
      </w:r>
      <w:r w:rsidR="007961E8" w:rsidRPr="0093038A">
        <w:rPr>
          <w:rFonts w:ascii="Times New Roman" w:hAnsi="Times New Roman"/>
          <w:sz w:val="24"/>
          <w:szCs w:val="24"/>
        </w:rPr>
        <w:t>gyüttműködési megállapodás alapján történik a szolgálatellátás</w:t>
      </w:r>
      <w:r w:rsidR="007961E8">
        <w:rPr>
          <w:rFonts w:ascii="Times New Roman" w:hAnsi="Times New Roman"/>
          <w:sz w:val="24"/>
          <w:szCs w:val="24"/>
        </w:rPr>
        <w:t>.</w:t>
      </w:r>
    </w:p>
    <w:p w14:paraId="41E5AB0F" w14:textId="77777777" w:rsidR="00916597" w:rsidRPr="007925AA" w:rsidRDefault="00916597" w:rsidP="00FE475F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7925AA">
        <w:rPr>
          <w:rFonts w:ascii="Times New Roman" w:hAnsi="Times New Roman"/>
          <w:sz w:val="24"/>
          <w:szCs w:val="24"/>
          <w:u w:val="single"/>
        </w:rPr>
        <w:t>Önkéntes Tűzoltó Egyesületek</w:t>
      </w:r>
    </w:p>
    <w:p w14:paraId="6898DFA4" w14:textId="48F6AFC3" w:rsidR="00916597" w:rsidRDefault="00916597" w:rsidP="00FE475F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6F57C7">
        <w:rPr>
          <w:rFonts w:ascii="Times New Roman" w:hAnsi="Times New Roman"/>
          <w:sz w:val="24"/>
          <w:szCs w:val="24"/>
        </w:rPr>
        <w:t xml:space="preserve">Az önkéntesek kategóriájukban vállalt kötelezettségüknek megfelelően segítették a hivatásos tűzoltók munkáját, biztosítva településük lakóinak védelmét, nyugalmát. Az egyesületek által bevethető oltóanyag, technikai eszközök, tűzoltói kapacitás, valamint a területeket érintő </w:t>
      </w:r>
      <w:r w:rsidRPr="007925AA">
        <w:rPr>
          <w:rFonts w:ascii="Times New Roman" w:hAnsi="Times New Roman"/>
          <w:sz w:val="24"/>
          <w:szCs w:val="24"/>
        </w:rPr>
        <w:t xml:space="preserve">helyismeretük gyorsabbá </w:t>
      </w:r>
      <w:r>
        <w:rPr>
          <w:rFonts w:ascii="Times New Roman" w:hAnsi="Times New Roman"/>
          <w:sz w:val="24"/>
          <w:szCs w:val="24"/>
        </w:rPr>
        <w:t>és hatékonyabbá tették a beavatkozásokat</w:t>
      </w:r>
      <w:r w:rsidRPr="007925AA">
        <w:rPr>
          <w:rFonts w:ascii="Times New Roman" w:hAnsi="Times New Roman"/>
          <w:sz w:val="24"/>
          <w:szCs w:val="24"/>
        </w:rPr>
        <w:t xml:space="preserve">. </w:t>
      </w:r>
      <w:r w:rsidR="00B609DC">
        <w:rPr>
          <w:rFonts w:ascii="Times New Roman" w:hAnsi="Times New Roman"/>
          <w:sz w:val="24"/>
          <w:szCs w:val="24"/>
        </w:rPr>
        <w:t>T</w:t>
      </w:r>
      <w:r w:rsidR="009835ED">
        <w:rPr>
          <w:rFonts w:ascii="Times New Roman" w:hAnsi="Times New Roman"/>
          <w:sz w:val="24"/>
          <w:szCs w:val="24"/>
        </w:rPr>
        <w:t xml:space="preserve">öbb olyan jelentős káreset is történt a </w:t>
      </w:r>
      <w:r w:rsidR="00CB2C02">
        <w:rPr>
          <w:rFonts w:ascii="Times New Roman" w:hAnsi="Times New Roman"/>
          <w:sz w:val="24"/>
          <w:szCs w:val="24"/>
        </w:rPr>
        <w:t>vármegye</w:t>
      </w:r>
      <w:r w:rsidR="009835ED">
        <w:rPr>
          <w:rFonts w:ascii="Times New Roman" w:hAnsi="Times New Roman"/>
          <w:sz w:val="24"/>
          <w:szCs w:val="24"/>
        </w:rPr>
        <w:t xml:space="preserve"> területén,</w:t>
      </w:r>
      <w:r w:rsidRPr="007925AA">
        <w:rPr>
          <w:rFonts w:ascii="Times New Roman" w:hAnsi="Times New Roman"/>
          <w:sz w:val="24"/>
          <w:szCs w:val="24"/>
        </w:rPr>
        <w:t xml:space="preserve"> </w:t>
      </w:r>
      <w:r w:rsidR="009835ED">
        <w:rPr>
          <w:rFonts w:ascii="Times New Roman" w:hAnsi="Times New Roman"/>
          <w:sz w:val="24"/>
          <w:szCs w:val="24"/>
        </w:rPr>
        <w:t xml:space="preserve">ahol az </w:t>
      </w:r>
      <w:proofErr w:type="spellStart"/>
      <w:r w:rsidR="009835ED">
        <w:rPr>
          <w:rFonts w:ascii="Times New Roman" w:hAnsi="Times New Roman"/>
          <w:sz w:val="24"/>
          <w:szCs w:val="24"/>
        </w:rPr>
        <w:t>ÖTE-k</w:t>
      </w:r>
      <w:proofErr w:type="spellEnd"/>
      <w:r w:rsidR="009835ED">
        <w:rPr>
          <w:rFonts w:ascii="Times New Roman" w:hAnsi="Times New Roman"/>
          <w:sz w:val="24"/>
          <w:szCs w:val="24"/>
        </w:rPr>
        <w:t xml:space="preserve"> – működési területüktől távol – is hatékony segítséget nyújtottak.</w:t>
      </w:r>
    </w:p>
    <w:p w14:paraId="0AF9332D" w14:textId="4BC47588" w:rsidR="008B7F9C" w:rsidRDefault="008B7F9C" w:rsidP="00FE475F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települési ÖTE beavatkozásokat a 3. melléklet tartalmazza. </w:t>
      </w:r>
    </w:p>
    <w:p w14:paraId="79EE137E" w14:textId="1AAAA515" w:rsidR="00916597" w:rsidRPr="006F57C7" w:rsidRDefault="00C31B8A" w:rsidP="00C31B8A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Egyesületeink benyújtott pályázatai eredményese</w:t>
      </w:r>
      <w:r w:rsidR="00B609DC">
        <w:rPr>
          <w:rFonts w:ascii="Times New Roman" w:hAnsi="Times New Roman"/>
          <w:sz w:val="24"/>
          <w:szCs w:val="24"/>
        </w:rPr>
        <w:t>k, f</w:t>
      </w:r>
      <w:r>
        <w:rPr>
          <w:rFonts w:ascii="Times New Roman" w:hAnsi="Times New Roman"/>
          <w:sz w:val="24"/>
          <w:szCs w:val="24"/>
        </w:rPr>
        <w:t xml:space="preserve">ejlődésük folyamatos. </w:t>
      </w:r>
      <w:r w:rsidR="006D2704">
        <w:rPr>
          <w:rFonts w:ascii="Times New Roman" w:hAnsi="Times New Roman"/>
          <w:sz w:val="24"/>
          <w:szCs w:val="24"/>
        </w:rPr>
        <w:t>A f</w:t>
      </w:r>
      <w:r>
        <w:rPr>
          <w:rFonts w:ascii="Times New Roman" w:hAnsi="Times New Roman"/>
          <w:sz w:val="24"/>
          <w:szCs w:val="24"/>
        </w:rPr>
        <w:t xml:space="preserve">elszereléseik </w:t>
      </w:r>
      <w:r w:rsidR="006D2704">
        <w:rPr>
          <w:rFonts w:ascii="Times New Roman" w:hAnsi="Times New Roman"/>
          <w:sz w:val="24"/>
          <w:szCs w:val="24"/>
        </w:rPr>
        <w:t>karbantartása megfelelő.</w:t>
      </w:r>
      <w:r>
        <w:rPr>
          <w:rFonts w:ascii="Times New Roman" w:hAnsi="Times New Roman"/>
          <w:sz w:val="24"/>
          <w:szCs w:val="24"/>
        </w:rPr>
        <w:t xml:space="preserve"> </w:t>
      </w:r>
      <w:r w:rsidR="006D2704">
        <w:rPr>
          <w:rFonts w:ascii="Times New Roman" w:hAnsi="Times New Roman"/>
          <w:sz w:val="24"/>
          <w:szCs w:val="24"/>
          <w:lang w:eastAsia="hu-HU"/>
        </w:rPr>
        <w:t>A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 köz</w:t>
      </w:r>
      <w:r w:rsidR="006D2704">
        <w:rPr>
          <w:rFonts w:ascii="Times New Roman" w:hAnsi="Times New Roman"/>
          <w:sz w:val="24"/>
          <w:szCs w:val="24"/>
          <w:lang w:eastAsia="hu-HU"/>
        </w:rPr>
        <w:t xml:space="preserve">reműködő és a </w:t>
      </w:r>
      <w:r w:rsidR="00916597">
        <w:rPr>
          <w:rFonts w:ascii="Times New Roman" w:hAnsi="Times New Roman"/>
          <w:sz w:val="24"/>
          <w:szCs w:val="24"/>
          <w:lang w:eastAsia="hu-HU"/>
        </w:rPr>
        <w:t>beavatkozó egyesülete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k aktivitása </w:t>
      </w:r>
      <w:r w:rsidR="001912CA">
        <w:rPr>
          <w:rFonts w:ascii="Times New Roman" w:hAnsi="Times New Roman"/>
          <w:sz w:val="24"/>
          <w:szCs w:val="24"/>
          <w:lang w:eastAsia="hu-HU"/>
        </w:rPr>
        <w:t xml:space="preserve">folyamatosan </w:t>
      </w:r>
      <w:r w:rsidR="001912CA">
        <w:rPr>
          <w:rFonts w:ascii="Times New Roman" w:hAnsi="Times New Roman"/>
          <w:sz w:val="24"/>
          <w:szCs w:val="24"/>
          <w:lang w:eastAsia="hu-HU"/>
        </w:rPr>
        <w:lastRenderedPageBreak/>
        <w:t>nő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, és a káresemények felszámolásában való részvételük jelentős </w:t>
      </w:r>
      <w:r w:rsidR="00916597" w:rsidRPr="006F57C7">
        <w:rPr>
          <w:rFonts w:ascii="Times New Roman" w:hAnsi="Times New Roman"/>
          <w:sz w:val="24"/>
          <w:szCs w:val="24"/>
          <w:lang w:eastAsia="hu-HU"/>
        </w:rPr>
        <w:t>segítséget jelent a hivatásos tűzoltóság számára.</w:t>
      </w:r>
    </w:p>
    <w:p w14:paraId="3D6ECE4C" w14:textId="0B53BE51" w:rsidR="00916597" w:rsidRPr="003905C2" w:rsidRDefault="00E43E45" w:rsidP="00FE475F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tárgyévben a</w:t>
      </w:r>
      <w:r w:rsidR="006D2704">
        <w:rPr>
          <w:rFonts w:ascii="Times New Roman" w:hAnsi="Times New Roman"/>
          <w:sz w:val="24"/>
          <w:szCs w:val="24"/>
          <w:lang w:eastAsia="hu-HU"/>
        </w:rPr>
        <w:t xml:space="preserve">z önkéntes egységek 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jóval a vállalt riasztási normaidőn belül kezdték meg a vonulást. </w:t>
      </w:r>
      <w:r w:rsidR="006F1DC7">
        <w:rPr>
          <w:rFonts w:ascii="Times New Roman" w:hAnsi="Times New Roman"/>
          <w:sz w:val="24"/>
          <w:szCs w:val="24"/>
          <w:lang w:eastAsia="hu-HU"/>
        </w:rPr>
        <w:t>Gyorsabb kiérkezésükből adódóan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 az emberélet mentése esetén és a károk minimalizálásánál </w:t>
      </w:r>
      <w:r>
        <w:rPr>
          <w:rFonts w:ascii="Times New Roman" w:hAnsi="Times New Roman"/>
          <w:sz w:val="24"/>
          <w:szCs w:val="24"/>
          <w:lang w:eastAsia="hu-HU"/>
        </w:rPr>
        <w:t>is előny mutatkozott.</w:t>
      </w:r>
    </w:p>
    <w:p w14:paraId="5EED0775" w14:textId="793E8CAB" w:rsidR="00916597" w:rsidRPr="007925AA" w:rsidRDefault="00916597" w:rsidP="00FE475F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25AA">
        <w:rPr>
          <w:rFonts w:ascii="Times New Roman" w:hAnsi="Times New Roman"/>
          <w:sz w:val="24"/>
          <w:szCs w:val="24"/>
          <w:u w:val="single"/>
        </w:rPr>
        <w:t xml:space="preserve">Önkormányzati Tűzoltóság </w:t>
      </w:r>
      <w:r w:rsidR="0002747C">
        <w:rPr>
          <w:rFonts w:ascii="Times New Roman" w:hAnsi="Times New Roman"/>
          <w:sz w:val="24"/>
          <w:szCs w:val="24"/>
          <w:u w:val="single"/>
        </w:rPr>
        <w:t>Vál</w:t>
      </w:r>
    </w:p>
    <w:p w14:paraId="6532EDA9" w14:textId="5059FBCF" w:rsidR="006D2704" w:rsidRDefault="006D2704" w:rsidP="00FE475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</w:t>
      </w:r>
      <w:r w:rsidR="00EB55F3">
        <w:rPr>
          <w:rFonts w:ascii="Times New Roman" w:hAnsi="Times New Roman"/>
          <w:sz w:val="24"/>
          <w:szCs w:val="24"/>
        </w:rPr>
        <w:t xml:space="preserve">nkormányzati </w:t>
      </w:r>
      <w:r>
        <w:rPr>
          <w:rFonts w:ascii="Times New Roman" w:hAnsi="Times New Roman"/>
          <w:sz w:val="24"/>
          <w:szCs w:val="24"/>
        </w:rPr>
        <w:t>t</w:t>
      </w:r>
      <w:r w:rsidR="00EB55F3">
        <w:rPr>
          <w:rFonts w:ascii="Times New Roman" w:hAnsi="Times New Roman"/>
          <w:sz w:val="24"/>
          <w:szCs w:val="24"/>
        </w:rPr>
        <w:t>űzoltóság</w:t>
      </w:r>
      <w:r w:rsidR="00916597" w:rsidRPr="007925AA">
        <w:rPr>
          <w:rFonts w:ascii="Times New Roman" w:hAnsi="Times New Roman"/>
          <w:sz w:val="24"/>
          <w:szCs w:val="24"/>
        </w:rPr>
        <w:t xml:space="preserve"> </w:t>
      </w:r>
      <w:r w:rsidR="0048278F" w:rsidRPr="007925AA">
        <w:rPr>
          <w:rFonts w:ascii="Times New Roman" w:hAnsi="Times New Roman"/>
          <w:sz w:val="24"/>
          <w:szCs w:val="24"/>
        </w:rPr>
        <w:t>együttműködési</w:t>
      </w:r>
      <w:r w:rsidR="00916597" w:rsidRPr="007925AA">
        <w:rPr>
          <w:rFonts w:ascii="Times New Roman" w:hAnsi="Times New Roman"/>
          <w:sz w:val="24"/>
          <w:szCs w:val="24"/>
        </w:rPr>
        <w:t xml:space="preserve"> megállapodás alapján, elsődleges műveleti körzetében</w:t>
      </w:r>
      <w:r w:rsidR="00EB55F3">
        <w:rPr>
          <w:rFonts w:ascii="Times New Roman" w:hAnsi="Times New Roman"/>
          <w:sz w:val="24"/>
          <w:szCs w:val="24"/>
        </w:rPr>
        <w:t>,</w:t>
      </w:r>
      <w:r w:rsidR="00916597" w:rsidRPr="007925AA">
        <w:rPr>
          <w:rFonts w:ascii="Times New Roman" w:hAnsi="Times New Roman"/>
          <w:sz w:val="24"/>
          <w:szCs w:val="24"/>
        </w:rPr>
        <w:t xml:space="preserve"> </w:t>
      </w:r>
      <w:r w:rsidR="00EB55F3">
        <w:rPr>
          <w:rFonts w:ascii="Times New Roman" w:hAnsi="Times New Roman"/>
          <w:sz w:val="24"/>
          <w:szCs w:val="24"/>
        </w:rPr>
        <w:t>F</w:t>
      </w:r>
      <w:r w:rsidR="00EB55F3" w:rsidRPr="00EB55F3">
        <w:rPr>
          <w:rFonts w:ascii="Times New Roman" w:hAnsi="Times New Roman"/>
          <w:sz w:val="24"/>
          <w:szCs w:val="24"/>
        </w:rPr>
        <w:t xml:space="preserve">ejér </w:t>
      </w:r>
      <w:r>
        <w:rPr>
          <w:rFonts w:ascii="Times New Roman" w:hAnsi="Times New Roman"/>
          <w:sz w:val="24"/>
          <w:szCs w:val="24"/>
        </w:rPr>
        <w:t>v</w:t>
      </w:r>
      <w:r w:rsidR="00CB2C02">
        <w:rPr>
          <w:rFonts w:ascii="Times New Roman" w:hAnsi="Times New Roman"/>
          <w:sz w:val="24"/>
          <w:szCs w:val="24"/>
        </w:rPr>
        <w:t>ármegye</w:t>
      </w:r>
      <w:r w:rsidR="00EB55F3" w:rsidRPr="00EB55F3">
        <w:rPr>
          <w:rFonts w:ascii="Times New Roman" w:hAnsi="Times New Roman"/>
          <w:sz w:val="24"/>
          <w:szCs w:val="24"/>
        </w:rPr>
        <w:t xml:space="preserve"> északi ré</w:t>
      </w:r>
      <w:r w:rsidR="00EB55F3">
        <w:rPr>
          <w:rFonts w:ascii="Times New Roman" w:hAnsi="Times New Roman"/>
          <w:sz w:val="24"/>
          <w:szCs w:val="24"/>
        </w:rPr>
        <w:t>szén, 171</w:t>
      </w:r>
      <w:r w:rsidR="00C62838">
        <w:rPr>
          <w:rFonts w:ascii="Times New Roman" w:hAnsi="Times New Roman"/>
          <w:sz w:val="24"/>
          <w:szCs w:val="24"/>
        </w:rPr>
        <w:t>,</w:t>
      </w:r>
      <w:r w:rsidR="00EB55F3">
        <w:rPr>
          <w:rFonts w:ascii="Times New Roman" w:hAnsi="Times New Roman"/>
          <w:sz w:val="24"/>
          <w:szCs w:val="24"/>
        </w:rPr>
        <w:t>84 ha területen látja</w:t>
      </w:r>
      <w:r w:rsidR="00EB55F3" w:rsidRPr="00EB55F3">
        <w:rPr>
          <w:rFonts w:ascii="Times New Roman" w:hAnsi="Times New Roman"/>
          <w:sz w:val="24"/>
          <w:szCs w:val="24"/>
        </w:rPr>
        <w:t xml:space="preserve"> el a tűzoltási és</w:t>
      </w:r>
      <w:r>
        <w:rPr>
          <w:rFonts w:ascii="Times New Roman" w:hAnsi="Times New Roman"/>
          <w:sz w:val="24"/>
          <w:szCs w:val="24"/>
        </w:rPr>
        <w:t xml:space="preserve"> műszaki mentési tevékenységet (</w:t>
      </w:r>
      <w:r w:rsidR="00EB55F3" w:rsidRPr="00EB55F3">
        <w:rPr>
          <w:rFonts w:ascii="Times New Roman" w:hAnsi="Times New Roman"/>
          <w:sz w:val="24"/>
          <w:szCs w:val="24"/>
        </w:rPr>
        <w:t>Vál, Tabajd, K</w:t>
      </w:r>
      <w:r w:rsidR="004A19A7">
        <w:rPr>
          <w:rFonts w:ascii="Times New Roman" w:hAnsi="Times New Roman"/>
          <w:sz w:val="24"/>
          <w:szCs w:val="24"/>
        </w:rPr>
        <w:t>ajászó, Baracska, Tordas, Gyúró</w:t>
      </w:r>
      <w:r>
        <w:rPr>
          <w:rFonts w:ascii="Times New Roman" w:hAnsi="Times New Roman"/>
          <w:sz w:val="24"/>
          <w:szCs w:val="24"/>
        </w:rPr>
        <w:t xml:space="preserve"> községek közigazgatási területén</w:t>
      </w:r>
      <w:r w:rsidR="00EB55F3" w:rsidRPr="00EB55F3">
        <w:rPr>
          <w:rFonts w:ascii="Times New Roman" w:hAnsi="Times New Roman"/>
          <w:sz w:val="24"/>
          <w:szCs w:val="24"/>
        </w:rPr>
        <w:t xml:space="preserve">,  </w:t>
      </w:r>
      <w:r w:rsidR="009A49ED">
        <w:rPr>
          <w:rFonts w:ascii="Times New Roman" w:hAnsi="Times New Roman"/>
          <w:sz w:val="24"/>
          <w:szCs w:val="24"/>
        </w:rPr>
        <w:t>az M</w:t>
      </w:r>
      <w:r w:rsidR="00EB55F3" w:rsidRPr="00EB55F3">
        <w:rPr>
          <w:rFonts w:ascii="Times New Roman" w:hAnsi="Times New Roman"/>
          <w:sz w:val="24"/>
          <w:szCs w:val="24"/>
        </w:rPr>
        <w:t>7 autópálya 30-41 km szelvénye, és a 7-es főút 34-38 km szelvényig terjedő szakasza</w:t>
      </w:r>
      <w:r>
        <w:rPr>
          <w:rFonts w:ascii="Times New Roman" w:hAnsi="Times New Roman"/>
          <w:sz w:val="24"/>
          <w:szCs w:val="24"/>
        </w:rPr>
        <w:t>).</w:t>
      </w:r>
      <w:r w:rsidR="00916597" w:rsidRPr="007925AA">
        <w:rPr>
          <w:rFonts w:ascii="Times New Roman" w:hAnsi="Times New Roman"/>
          <w:sz w:val="24"/>
          <w:szCs w:val="24"/>
        </w:rPr>
        <w:t xml:space="preserve"> </w:t>
      </w:r>
    </w:p>
    <w:p w14:paraId="46440924" w14:textId="2B91DB84" w:rsidR="00916597" w:rsidRPr="006F57C7" w:rsidRDefault="00916597" w:rsidP="00FE475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55F3">
        <w:rPr>
          <w:rFonts w:ascii="Times New Roman" w:hAnsi="Times New Roman"/>
          <w:sz w:val="24"/>
          <w:szCs w:val="24"/>
        </w:rPr>
        <w:t xml:space="preserve">Az itt élő lakosok száma megközelítőleg </w:t>
      </w:r>
      <w:r w:rsidR="00EB55F3" w:rsidRPr="00EB55F3">
        <w:rPr>
          <w:rFonts w:ascii="Times New Roman" w:hAnsi="Times New Roman"/>
          <w:sz w:val="24"/>
          <w:szCs w:val="24"/>
        </w:rPr>
        <w:t>11</w:t>
      </w:r>
      <w:r w:rsidR="006D2704">
        <w:rPr>
          <w:rFonts w:ascii="Times New Roman" w:hAnsi="Times New Roman"/>
          <w:sz w:val="24"/>
          <w:szCs w:val="24"/>
        </w:rPr>
        <w:t>.</w:t>
      </w:r>
      <w:r w:rsidR="00C62838">
        <w:rPr>
          <w:rFonts w:ascii="Times New Roman" w:hAnsi="Times New Roman"/>
          <w:sz w:val="24"/>
          <w:szCs w:val="24"/>
        </w:rPr>
        <w:t>486</w:t>
      </w:r>
      <w:r w:rsidR="00EB55F3" w:rsidRPr="00EB55F3">
        <w:rPr>
          <w:rFonts w:ascii="Times New Roman" w:hAnsi="Times New Roman"/>
          <w:sz w:val="24"/>
          <w:szCs w:val="24"/>
        </w:rPr>
        <w:t xml:space="preserve"> fő. A létszámadatokba nem számít bele a Közép-dunántúli Büntetés-végrehajtási Intézetben, büntetésüket töltő </w:t>
      </w:r>
      <w:r w:rsidR="00C62838">
        <w:rPr>
          <w:rFonts w:ascii="Times New Roman" w:hAnsi="Times New Roman"/>
          <w:sz w:val="24"/>
          <w:szCs w:val="24"/>
        </w:rPr>
        <w:t xml:space="preserve">közel </w:t>
      </w:r>
      <w:r w:rsidR="00EB55F3" w:rsidRPr="00EB55F3">
        <w:rPr>
          <w:rFonts w:ascii="Times New Roman" w:hAnsi="Times New Roman"/>
          <w:sz w:val="24"/>
          <w:szCs w:val="24"/>
        </w:rPr>
        <w:t>1</w:t>
      </w:r>
      <w:r w:rsidR="006D2704">
        <w:rPr>
          <w:rFonts w:ascii="Times New Roman" w:hAnsi="Times New Roman"/>
          <w:sz w:val="24"/>
          <w:szCs w:val="24"/>
        </w:rPr>
        <w:t>.</w:t>
      </w:r>
      <w:r w:rsidR="00EB55F3" w:rsidRPr="00EB55F3">
        <w:rPr>
          <w:rFonts w:ascii="Times New Roman" w:hAnsi="Times New Roman"/>
          <w:sz w:val="24"/>
          <w:szCs w:val="24"/>
        </w:rPr>
        <w:t>450</w:t>
      </w:r>
      <w:r w:rsidR="00813978">
        <w:rPr>
          <w:rFonts w:ascii="Times New Roman" w:hAnsi="Times New Roman"/>
          <w:sz w:val="24"/>
          <w:szCs w:val="24"/>
        </w:rPr>
        <w:t xml:space="preserve"> fő</w:t>
      </w:r>
      <w:r w:rsidR="00EB55F3" w:rsidRPr="00EB55F3">
        <w:rPr>
          <w:rFonts w:ascii="Times New Roman" w:hAnsi="Times New Roman"/>
          <w:sz w:val="24"/>
          <w:szCs w:val="24"/>
        </w:rPr>
        <w:t xml:space="preserve"> fogvatartott</w:t>
      </w:r>
      <w:r w:rsidRPr="007925AA">
        <w:rPr>
          <w:rFonts w:ascii="Times New Roman" w:hAnsi="Times New Roman"/>
          <w:sz w:val="24"/>
          <w:szCs w:val="24"/>
        </w:rPr>
        <w:t xml:space="preserve">. </w:t>
      </w:r>
      <w:r w:rsidR="00813978">
        <w:rPr>
          <w:rFonts w:ascii="Times New Roman" w:hAnsi="Times New Roman"/>
          <w:sz w:val="24"/>
          <w:szCs w:val="24"/>
        </w:rPr>
        <w:t>A tűzoltósággal</w:t>
      </w:r>
      <w:r w:rsidRPr="007925AA">
        <w:rPr>
          <w:rFonts w:ascii="Times New Roman" w:hAnsi="Times New Roman"/>
          <w:sz w:val="24"/>
          <w:szCs w:val="24"/>
        </w:rPr>
        <w:t xml:space="preserve"> a kap</w:t>
      </w:r>
      <w:r>
        <w:rPr>
          <w:rFonts w:ascii="Times New Roman" w:hAnsi="Times New Roman"/>
          <w:sz w:val="24"/>
          <w:szCs w:val="24"/>
        </w:rPr>
        <w:t>csolattartás folyamatos volt, a parancsnok</w:t>
      </w:r>
      <w:r w:rsidRPr="007925AA">
        <w:rPr>
          <w:rFonts w:ascii="Times New Roman" w:hAnsi="Times New Roman"/>
          <w:sz w:val="24"/>
          <w:szCs w:val="24"/>
        </w:rPr>
        <w:t xml:space="preserve"> a havi tűzoltó parancsnoki </w:t>
      </w:r>
      <w:r w:rsidR="006F1DC7">
        <w:rPr>
          <w:rFonts w:ascii="Times New Roman" w:hAnsi="Times New Roman"/>
          <w:sz w:val="24"/>
          <w:szCs w:val="24"/>
        </w:rPr>
        <w:t>értekezletek</w:t>
      </w:r>
      <w:r w:rsidR="006D2704">
        <w:rPr>
          <w:rFonts w:ascii="Times New Roman" w:hAnsi="Times New Roman"/>
          <w:sz w:val="24"/>
          <w:szCs w:val="24"/>
        </w:rPr>
        <w:t xml:space="preserve">en részt vettek. </w:t>
      </w:r>
      <w:r w:rsidRPr="006F57C7">
        <w:rPr>
          <w:rFonts w:ascii="Times New Roman" w:hAnsi="Times New Roman"/>
          <w:sz w:val="24"/>
          <w:szCs w:val="24"/>
        </w:rPr>
        <w:t>Az éves re</w:t>
      </w:r>
      <w:r w:rsidR="006D2704">
        <w:rPr>
          <w:rFonts w:ascii="Times New Roman" w:hAnsi="Times New Roman"/>
          <w:sz w:val="24"/>
          <w:szCs w:val="24"/>
        </w:rPr>
        <w:t>ndes közgyűlésre rendszeres</w:t>
      </w:r>
      <w:r w:rsidRPr="006F57C7">
        <w:rPr>
          <w:rFonts w:ascii="Times New Roman" w:hAnsi="Times New Roman"/>
          <w:sz w:val="24"/>
          <w:szCs w:val="24"/>
        </w:rPr>
        <w:t xml:space="preserve"> meghív</w:t>
      </w:r>
      <w:r w:rsidR="006D2704">
        <w:rPr>
          <w:rFonts w:ascii="Times New Roman" w:hAnsi="Times New Roman"/>
          <w:sz w:val="24"/>
          <w:szCs w:val="24"/>
        </w:rPr>
        <w:t xml:space="preserve">ott </w:t>
      </w:r>
      <w:r w:rsidRPr="006F57C7">
        <w:rPr>
          <w:rFonts w:ascii="Times New Roman" w:hAnsi="Times New Roman"/>
          <w:sz w:val="24"/>
          <w:szCs w:val="24"/>
        </w:rPr>
        <w:t>a</w:t>
      </w:r>
      <w:r w:rsidR="0002747C">
        <w:rPr>
          <w:rFonts w:ascii="Times New Roman" w:hAnsi="Times New Roman"/>
          <w:sz w:val="24"/>
          <w:szCs w:val="24"/>
        </w:rPr>
        <w:t>z</w:t>
      </w:r>
      <w:r w:rsidRPr="006F57C7">
        <w:rPr>
          <w:rFonts w:ascii="Times New Roman" w:hAnsi="Times New Roman"/>
          <w:sz w:val="24"/>
          <w:szCs w:val="24"/>
        </w:rPr>
        <w:t xml:space="preserve"> </w:t>
      </w:r>
      <w:r w:rsidR="003D62BB">
        <w:rPr>
          <w:rFonts w:ascii="Times New Roman" w:hAnsi="Times New Roman"/>
          <w:sz w:val="24"/>
          <w:szCs w:val="24"/>
        </w:rPr>
        <w:t>Érd</w:t>
      </w:r>
      <w:r w:rsidR="00E43E45">
        <w:rPr>
          <w:rFonts w:ascii="Times New Roman" w:hAnsi="Times New Roman"/>
          <w:sz w:val="24"/>
          <w:szCs w:val="24"/>
        </w:rPr>
        <w:t xml:space="preserve"> </w:t>
      </w:r>
      <w:r w:rsidR="006D2704">
        <w:rPr>
          <w:rFonts w:ascii="Times New Roman" w:hAnsi="Times New Roman"/>
          <w:sz w:val="24"/>
          <w:szCs w:val="24"/>
        </w:rPr>
        <w:t>HTP</w:t>
      </w:r>
      <w:r w:rsidRPr="006F57C7">
        <w:rPr>
          <w:rFonts w:ascii="Times New Roman" w:hAnsi="Times New Roman"/>
          <w:sz w:val="24"/>
          <w:szCs w:val="24"/>
        </w:rPr>
        <w:t xml:space="preserve"> parancsnoka, jelenléte az ülé</w:t>
      </w:r>
      <w:r w:rsidR="00813978">
        <w:rPr>
          <w:rFonts w:ascii="Times New Roman" w:hAnsi="Times New Roman"/>
          <w:sz w:val="24"/>
          <w:szCs w:val="24"/>
        </w:rPr>
        <w:t>seken biztosított. A tűzoltóság</w:t>
      </w:r>
      <w:r w:rsidRPr="006F57C7">
        <w:rPr>
          <w:rFonts w:ascii="Times New Roman" w:hAnsi="Times New Roman"/>
          <w:sz w:val="24"/>
          <w:szCs w:val="24"/>
        </w:rPr>
        <w:t xml:space="preserve"> </w:t>
      </w:r>
      <w:r w:rsidRPr="007925AA">
        <w:rPr>
          <w:rFonts w:ascii="Times New Roman" w:hAnsi="Times New Roman"/>
          <w:sz w:val="24"/>
          <w:szCs w:val="24"/>
        </w:rPr>
        <w:t xml:space="preserve">működése </w:t>
      </w:r>
      <w:r w:rsidRPr="00404501">
        <w:rPr>
          <w:rFonts w:ascii="Times New Roman" w:hAnsi="Times New Roman"/>
          <w:sz w:val="24"/>
          <w:szCs w:val="24"/>
        </w:rPr>
        <w:t>folyamatos</w:t>
      </w:r>
      <w:r>
        <w:rPr>
          <w:rFonts w:ascii="Times New Roman" w:hAnsi="Times New Roman"/>
          <w:sz w:val="24"/>
          <w:szCs w:val="24"/>
        </w:rPr>
        <w:t>,</w:t>
      </w:r>
      <w:r w:rsidRPr="007925AA">
        <w:rPr>
          <w:rFonts w:ascii="Times New Roman" w:hAnsi="Times New Roman"/>
          <w:sz w:val="24"/>
          <w:szCs w:val="24"/>
          <w:lang w:eastAsia="hu-HU"/>
        </w:rPr>
        <w:t xml:space="preserve"> létszám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7925A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D2704">
        <w:rPr>
          <w:rFonts w:ascii="Times New Roman" w:hAnsi="Times New Roman"/>
          <w:sz w:val="24"/>
          <w:szCs w:val="24"/>
          <w:lang w:eastAsia="hu-HU"/>
        </w:rPr>
        <w:t>stabil</w:t>
      </w:r>
      <w:r w:rsidR="000B5F0F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7925AA">
        <w:rPr>
          <w:rFonts w:ascii="Times New Roman" w:hAnsi="Times New Roman"/>
          <w:sz w:val="24"/>
          <w:szCs w:val="24"/>
          <w:lang w:eastAsia="hu-HU"/>
        </w:rPr>
        <w:t>A készenléti állomány, valamint önkéntes és megbízási szerződéses tűzoltóik rendelkeznek a jogszabályban előírt szakmai végzettségekkel és az éves alkalmassá</w:t>
      </w:r>
      <w:r>
        <w:rPr>
          <w:rFonts w:ascii="Times New Roman" w:hAnsi="Times New Roman"/>
          <w:sz w:val="24"/>
          <w:szCs w:val="24"/>
          <w:lang w:eastAsia="hu-HU"/>
        </w:rPr>
        <w:t xml:space="preserve">gi vizsgálatokkal, illetve élet- </w:t>
      </w:r>
      <w:r w:rsidRPr="007925AA">
        <w:rPr>
          <w:rFonts w:ascii="Times New Roman" w:hAnsi="Times New Roman"/>
          <w:sz w:val="24"/>
          <w:szCs w:val="24"/>
          <w:lang w:eastAsia="hu-HU"/>
        </w:rPr>
        <w:t xml:space="preserve">és balesetbiztosítással. </w:t>
      </w:r>
      <w:r w:rsidRPr="006F57C7">
        <w:rPr>
          <w:rFonts w:ascii="Times New Roman" w:hAnsi="Times New Roman"/>
          <w:bCs/>
          <w:sz w:val="24"/>
          <w:szCs w:val="24"/>
        </w:rPr>
        <w:t>A</w:t>
      </w:r>
      <w:r w:rsidR="00E43E45">
        <w:rPr>
          <w:rFonts w:ascii="Times New Roman" w:hAnsi="Times New Roman"/>
          <w:bCs/>
          <w:sz w:val="24"/>
          <w:szCs w:val="24"/>
        </w:rPr>
        <w:t xml:space="preserve">z </w:t>
      </w:r>
      <w:r w:rsidRPr="006F57C7">
        <w:rPr>
          <w:rFonts w:ascii="Times New Roman" w:hAnsi="Times New Roman"/>
          <w:bCs/>
          <w:sz w:val="24"/>
          <w:szCs w:val="24"/>
        </w:rPr>
        <w:t>el</w:t>
      </w:r>
      <w:r w:rsidR="00E43E45">
        <w:rPr>
          <w:rFonts w:ascii="Times New Roman" w:hAnsi="Times New Roman"/>
          <w:bCs/>
          <w:sz w:val="24"/>
          <w:szCs w:val="24"/>
        </w:rPr>
        <w:t>őírt felszerelésekkel rendelkezne</w:t>
      </w:r>
      <w:r w:rsidRPr="006F57C7">
        <w:rPr>
          <w:rFonts w:ascii="Times New Roman" w:hAnsi="Times New Roman"/>
          <w:bCs/>
          <w:sz w:val="24"/>
          <w:szCs w:val="24"/>
        </w:rPr>
        <w:t>k, azok műszaki állapotára vonatkozó karbantartásokat, időszaki felülvizsgálatokat elvégezték.</w:t>
      </w:r>
    </w:p>
    <w:p w14:paraId="040CDE2C" w14:textId="4ADDCF5A" w:rsidR="00E43E45" w:rsidRPr="007925AA" w:rsidRDefault="00916597" w:rsidP="00FE475F">
      <w:pPr>
        <w:tabs>
          <w:tab w:val="left" w:pos="7404"/>
        </w:tabs>
        <w:spacing w:before="120"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925AA">
        <w:rPr>
          <w:rFonts w:ascii="Times New Roman" w:hAnsi="Times New Roman"/>
          <w:sz w:val="24"/>
          <w:szCs w:val="24"/>
        </w:rPr>
        <w:t xml:space="preserve">A </w:t>
      </w:r>
      <w:r w:rsidR="00F85D60">
        <w:rPr>
          <w:rFonts w:ascii="Times New Roman" w:hAnsi="Times New Roman"/>
          <w:sz w:val="24"/>
          <w:szCs w:val="24"/>
        </w:rPr>
        <w:t>202</w:t>
      </w:r>
      <w:r w:rsidR="00C628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03329B">
        <w:rPr>
          <w:rFonts w:ascii="Times New Roman" w:hAnsi="Times New Roman"/>
          <w:sz w:val="24"/>
          <w:szCs w:val="24"/>
        </w:rPr>
        <w:t xml:space="preserve"> évben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7925AA">
        <w:rPr>
          <w:rFonts w:ascii="Times New Roman" w:hAnsi="Times New Roman"/>
          <w:sz w:val="24"/>
          <w:szCs w:val="24"/>
        </w:rPr>
        <w:t>éves felügyeleti el</w:t>
      </w:r>
      <w:r>
        <w:rPr>
          <w:rFonts w:ascii="Times New Roman" w:hAnsi="Times New Roman"/>
          <w:sz w:val="24"/>
          <w:szCs w:val="24"/>
        </w:rPr>
        <w:t>lenőrzéseke</w:t>
      </w:r>
      <w:r w:rsidR="00EB55F3">
        <w:rPr>
          <w:rFonts w:ascii="Times New Roman" w:hAnsi="Times New Roman"/>
          <w:sz w:val="24"/>
          <w:szCs w:val="24"/>
        </w:rPr>
        <w:t xml:space="preserve">t </w:t>
      </w:r>
      <w:r w:rsidR="006D2704">
        <w:rPr>
          <w:rFonts w:ascii="Times New Roman" w:hAnsi="Times New Roman"/>
          <w:sz w:val="24"/>
          <w:szCs w:val="24"/>
        </w:rPr>
        <w:t xml:space="preserve">támogató módon </w:t>
      </w:r>
      <w:r w:rsidR="00EB55F3">
        <w:rPr>
          <w:rFonts w:ascii="Times New Roman" w:hAnsi="Times New Roman"/>
          <w:sz w:val="24"/>
          <w:szCs w:val="24"/>
        </w:rPr>
        <w:t>folyamatosan végezzük</w:t>
      </w:r>
      <w:r>
        <w:rPr>
          <w:rFonts w:ascii="Times New Roman" w:hAnsi="Times New Roman"/>
          <w:sz w:val="24"/>
          <w:szCs w:val="24"/>
        </w:rPr>
        <w:t xml:space="preserve">, </w:t>
      </w:r>
      <w:r w:rsidR="00EB55F3"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ek </w:t>
      </w:r>
      <w:r w:rsidRPr="007925AA">
        <w:rPr>
          <w:rFonts w:ascii="Times New Roman" w:hAnsi="Times New Roman"/>
          <w:sz w:val="24"/>
          <w:szCs w:val="24"/>
        </w:rPr>
        <w:t>célja a szolgálatellátás, a képzés, a káreseti beavatkozás, a gyakorlat</w:t>
      </w:r>
      <w:r>
        <w:rPr>
          <w:rFonts w:ascii="Times New Roman" w:hAnsi="Times New Roman"/>
          <w:sz w:val="24"/>
          <w:szCs w:val="24"/>
        </w:rPr>
        <w:t>ok</w:t>
      </w:r>
      <w:r w:rsidRPr="007925AA">
        <w:rPr>
          <w:rFonts w:ascii="Times New Roman" w:hAnsi="Times New Roman"/>
          <w:sz w:val="24"/>
          <w:szCs w:val="24"/>
        </w:rPr>
        <w:t xml:space="preserve"> végrehajtás</w:t>
      </w:r>
      <w:r>
        <w:rPr>
          <w:rFonts w:ascii="Times New Roman" w:hAnsi="Times New Roman"/>
          <w:sz w:val="24"/>
          <w:szCs w:val="24"/>
        </w:rPr>
        <w:t>a, illetve a szakmai működés</w:t>
      </w:r>
      <w:r w:rsidRPr="007925AA">
        <w:rPr>
          <w:rFonts w:ascii="Times New Roman" w:hAnsi="Times New Roman"/>
          <w:sz w:val="24"/>
          <w:szCs w:val="24"/>
        </w:rPr>
        <w:t xml:space="preserve"> és fejl</w:t>
      </w:r>
      <w:r>
        <w:rPr>
          <w:rFonts w:ascii="Times New Roman" w:hAnsi="Times New Roman"/>
          <w:sz w:val="24"/>
          <w:szCs w:val="24"/>
        </w:rPr>
        <w:t xml:space="preserve">ődés elősegítése. </w:t>
      </w:r>
    </w:p>
    <w:p w14:paraId="045F9971" w14:textId="7A3CD5A9" w:rsidR="00916597" w:rsidRDefault="00916597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7E53F3">
        <w:rPr>
          <w:rFonts w:ascii="Times New Roman" w:hAnsi="Times New Roman"/>
          <w:sz w:val="24"/>
          <w:szCs w:val="24"/>
        </w:rPr>
        <w:t xml:space="preserve">A tűzoltóságot </w:t>
      </w:r>
      <w:r w:rsidR="00F85D60" w:rsidRPr="007E53F3">
        <w:rPr>
          <w:rFonts w:ascii="Times New Roman" w:hAnsi="Times New Roman"/>
          <w:sz w:val="24"/>
          <w:szCs w:val="24"/>
        </w:rPr>
        <w:t xml:space="preserve">összesen </w:t>
      </w:r>
      <w:r w:rsidR="00AE4DB2">
        <w:rPr>
          <w:rFonts w:ascii="Times New Roman" w:hAnsi="Times New Roman"/>
          <w:b/>
          <w:sz w:val="24"/>
          <w:szCs w:val="24"/>
        </w:rPr>
        <w:t>83</w:t>
      </w:r>
      <w:r w:rsidRPr="007E53F3">
        <w:rPr>
          <w:rFonts w:ascii="Times New Roman" w:hAnsi="Times New Roman"/>
          <w:sz w:val="24"/>
          <w:szCs w:val="24"/>
        </w:rPr>
        <w:t xml:space="preserve"> káresethez riasztották</w:t>
      </w:r>
      <w:r w:rsidR="00C31B8A" w:rsidRPr="007E53F3">
        <w:rPr>
          <w:rFonts w:ascii="Times New Roman" w:hAnsi="Times New Roman"/>
          <w:sz w:val="24"/>
          <w:szCs w:val="24"/>
        </w:rPr>
        <w:t xml:space="preserve">, ebből </w:t>
      </w:r>
      <w:r w:rsidR="007E53F3" w:rsidRPr="007E53F3">
        <w:rPr>
          <w:rFonts w:ascii="Times New Roman" w:hAnsi="Times New Roman"/>
          <w:b/>
          <w:sz w:val="24"/>
          <w:szCs w:val="24"/>
        </w:rPr>
        <w:t>57</w:t>
      </w:r>
      <w:r w:rsidR="00C31B8A" w:rsidRPr="007E53F3">
        <w:rPr>
          <w:rFonts w:ascii="Times New Roman" w:hAnsi="Times New Roman"/>
          <w:sz w:val="24"/>
          <w:szCs w:val="24"/>
        </w:rPr>
        <w:t xml:space="preserve"> esetben kellett beavatkozni</w:t>
      </w:r>
      <w:r w:rsidR="006D2704">
        <w:rPr>
          <w:rFonts w:ascii="Times New Roman" w:hAnsi="Times New Roman"/>
          <w:sz w:val="24"/>
          <w:szCs w:val="24"/>
        </w:rPr>
        <w:t xml:space="preserve">. </w:t>
      </w:r>
      <w:r w:rsidR="00E43E45">
        <w:rPr>
          <w:rFonts w:ascii="Times New Roman" w:hAnsi="Times New Roman"/>
          <w:sz w:val="24"/>
          <w:szCs w:val="24"/>
        </w:rPr>
        <w:t>(</w:t>
      </w:r>
      <w:r w:rsidR="00C31B8A" w:rsidRPr="007E53F3">
        <w:rPr>
          <w:rFonts w:ascii="Times New Roman" w:hAnsi="Times New Roman"/>
          <w:sz w:val="24"/>
          <w:szCs w:val="24"/>
        </w:rPr>
        <w:t>Vál</w:t>
      </w:r>
      <w:r w:rsidR="00E43E45">
        <w:rPr>
          <w:rFonts w:ascii="Times New Roman" w:hAnsi="Times New Roman"/>
          <w:sz w:val="24"/>
          <w:szCs w:val="24"/>
        </w:rPr>
        <w:t>: 29</w:t>
      </w:r>
      <w:r w:rsidR="00F027E5" w:rsidRPr="007E53F3">
        <w:rPr>
          <w:rFonts w:ascii="Times New Roman" w:hAnsi="Times New Roman"/>
          <w:sz w:val="24"/>
          <w:szCs w:val="24"/>
        </w:rPr>
        <w:t>, Baracska</w:t>
      </w:r>
      <w:r w:rsidR="00E43E45">
        <w:rPr>
          <w:rFonts w:ascii="Times New Roman" w:hAnsi="Times New Roman"/>
          <w:sz w:val="24"/>
          <w:szCs w:val="24"/>
        </w:rPr>
        <w:t>: 11</w:t>
      </w:r>
      <w:r w:rsidR="00F027E5" w:rsidRPr="007E53F3">
        <w:rPr>
          <w:rFonts w:ascii="Times New Roman" w:hAnsi="Times New Roman"/>
          <w:sz w:val="24"/>
          <w:szCs w:val="24"/>
        </w:rPr>
        <w:t>, Kajászó</w:t>
      </w:r>
      <w:r w:rsidR="00E43E45">
        <w:rPr>
          <w:rFonts w:ascii="Times New Roman" w:hAnsi="Times New Roman"/>
          <w:sz w:val="24"/>
          <w:szCs w:val="24"/>
        </w:rPr>
        <w:t xml:space="preserve">: 20, </w:t>
      </w:r>
      <w:r w:rsidR="007E53F3" w:rsidRPr="007E53F3">
        <w:rPr>
          <w:rFonts w:ascii="Times New Roman" w:hAnsi="Times New Roman"/>
          <w:sz w:val="24"/>
          <w:szCs w:val="24"/>
        </w:rPr>
        <w:t>Gyúró</w:t>
      </w:r>
      <w:r w:rsidR="00E43E45">
        <w:rPr>
          <w:rFonts w:ascii="Times New Roman" w:hAnsi="Times New Roman"/>
          <w:sz w:val="24"/>
          <w:szCs w:val="24"/>
        </w:rPr>
        <w:t>: 2</w:t>
      </w:r>
      <w:r w:rsidR="007E53F3" w:rsidRPr="007E53F3">
        <w:rPr>
          <w:rFonts w:ascii="Times New Roman" w:hAnsi="Times New Roman"/>
          <w:sz w:val="24"/>
          <w:szCs w:val="24"/>
        </w:rPr>
        <w:t>, Tabajd</w:t>
      </w:r>
      <w:r w:rsidR="00E43E45">
        <w:rPr>
          <w:rFonts w:ascii="Times New Roman" w:hAnsi="Times New Roman"/>
          <w:sz w:val="24"/>
          <w:szCs w:val="24"/>
        </w:rPr>
        <w:t>: 9</w:t>
      </w:r>
      <w:r w:rsidR="007E53F3" w:rsidRPr="007E53F3">
        <w:rPr>
          <w:rFonts w:ascii="Times New Roman" w:hAnsi="Times New Roman"/>
          <w:sz w:val="24"/>
          <w:szCs w:val="24"/>
        </w:rPr>
        <w:t>, Tordas</w:t>
      </w:r>
      <w:r w:rsidR="00E43E45">
        <w:rPr>
          <w:rFonts w:ascii="Times New Roman" w:hAnsi="Times New Roman"/>
          <w:sz w:val="24"/>
          <w:szCs w:val="24"/>
        </w:rPr>
        <w:t xml:space="preserve">: 5 esetben volt érintett a beavatkozások során.) </w:t>
      </w:r>
      <w:r w:rsidR="007E53F3" w:rsidRPr="007E53F3">
        <w:rPr>
          <w:rFonts w:ascii="Times New Roman" w:hAnsi="Times New Roman"/>
          <w:sz w:val="24"/>
          <w:szCs w:val="24"/>
        </w:rPr>
        <w:t>24</w:t>
      </w:r>
      <w:r w:rsidR="00C31B8A" w:rsidRPr="007E53F3">
        <w:rPr>
          <w:rFonts w:ascii="Times New Roman" w:hAnsi="Times New Roman"/>
          <w:sz w:val="24"/>
          <w:szCs w:val="24"/>
        </w:rPr>
        <w:t xml:space="preserve"> esetben közúti balesetnél avatkoztak be. Ezen események zömmel az M7 autópályán történtek.</w:t>
      </w:r>
    </w:p>
    <w:p w14:paraId="3A688D95" w14:textId="77777777" w:rsidR="008B7F9C" w:rsidRPr="006F57C7" w:rsidRDefault="008B7F9C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0D3B250" w14:textId="2217682E" w:rsidR="00833900" w:rsidRPr="005E0D0C" w:rsidRDefault="009776D6" w:rsidP="005E0D0C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="003D62BB">
        <w:rPr>
          <w:rFonts w:ascii="Times New Roman" w:hAnsi="Times New Roman"/>
          <w:sz w:val="24"/>
          <w:szCs w:val="24"/>
          <w:lang w:eastAsia="hu-HU"/>
        </w:rPr>
        <w:t>Érd</w:t>
      </w:r>
      <w:r w:rsidR="00916597" w:rsidRPr="006F57C7">
        <w:rPr>
          <w:rFonts w:ascii="Times New Roman" w:hAnsi="Times New Roman"/>
          <w:sz w:val="24"/>
          <w:szCs w:val="24"/>
          <w:lang w:eastAsia="hu-HU"/>
        </w:rPr>
        <w:t xml:space="preserve"> HTP 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>működési terü</w:t>
      </w:r>
      <w:r w:rsidR="00916597">
        <w:rPr>
          <w:rFonts w:ascii="Times New Roman" w:hAnsi="Times New Roman"/>
          <w:sz w:val="24"/>
          <w:szCs w:val="24"/>
          <w:lang w:eastAsia="hu-HU"/>
        </w:rPr>
        <w:t xml:space="preserve">letén működő </w:t>
      </w:r>
      <w:r>
        <w:rPr>
          <w:rFonts w:ascii="Times New Roman" w:hAnsi="Times New Roman"/>
          <w:sz w:val="24"/>
          <w:szCs w:val="24"/>
          <w:lang w:eastAsia="hu-HU"/>
        </w:rPr>
        <w:t>Vál</w:t>
      </w:r>
      <w:r w:rsidR="006D2704">
        <w:rPr>
          <w:rFonts w:ascii="Times New Roman" w:hAnsi="Times New Roman"/>
          <w:sz w:val="24"/>
          <w:szCs w:val="24"/>
          <w:lang w:eastAsia="hu-HU"/>
        </w:rPr>
        <w:t xml:space="preserve"> ÖTP</w:t>
      </w:r>
      <w:r w:rsidR="00916597" w:rsidRPr="007925AA">
        <w:rPr>
          <w:rFonts w:ascii="Times New Roman" w:hAnsi="Times New Roman"/>
          <w:sz w:val="24"/>
          <w:szCs w:val="24"/>
          <w:lang w:eastAsia="hu-HU"/>
        </w:rPr>
        <w:t xml:space="preserve"> a lakosság mentő tűzvédelmi biztonsága érdekében elsődleges beavatkozóként alkalmas arra, hogy rövid időn belül megkezdje a műszaki mentést vagy a tűzoltást. A </w:t>
      </w:r>
      <w:r w:rsidR="00916597">
        <w:rPr>
          <w:rFonts w:ascii="Times New Roman" w:hAnsi="Times New Roman"/>
          <w:sz w:val="24"/>
          <w:szCs w:val="24"/>
          <w:lang w:eastAsia="hu-HU"/>
        </w:rPr>
        <w:t xml:space="preserve">káresetek felszámolását az ÖTP önállóan végzi, a nagyobb, több erőt és eszközt igénylő káresetekhez nyújt a hivatásos tűzoltóság segítséget. </w:t>
      </w:r>
      <w:bookmarkStart w:id="11" w:name="_Toc40190330"/>
    </w:p>
    <w:p w14:paraId="07172F26" w14:textId="601B6AA2" w:rsidR="00916597" w:rsidRPr="007925AA" w:rsidRDefault="00916597" w:rsidP="00916597">
      <w:pPr>
        <w:pStyle w:val="Cmsor1"/>
        <w:spacing w:before="240" w:after="100" w:afterAutospacing="1" w:line="240" w:lineRule="atLeast"/>
        <w:rPr>
          <w:b/>
        </w:rPr>
      </w:pPr>
      <w:bookmarkStart w:id="12" w:name="_Toc194919348"/>
      <w:r w:rsidRPr="005A1554">
        <w:rPr>
          <w:b/>
        </w:rPr>
        <w:t>Polgári védelmi feladatok</w:t>
      </w:r>
      <w:bookmarkEnd w:id="11"/>
      <w:bookmarkEnd w:id="12"/>
    </w:p>
    <w:p w14:paraId="561A2820" w14:textId="760F7215" w:rsidR="00C62DD9" w:rsidRDefault="006D2704" w:rsidP="00C62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62DD9" w:rsidRPr="00B84706">
        <w:rPr>
          <w:rFonts w:ascii="Times New Roman" w:hAnsi="Times New Roman"/>
          <w:sz w:val="24"/>
          <w:szCs w:val="24"/>
        </w:rPr>
        <w:t xml:space="preserve">z önvédelmi képesség fokozása érdekében új alapokra helyeztük és kiszélesítettük a felkészítési tevékenységet, </w:t>
      </w:r>
      <w:r>
        <w:rPr>
          <w:rFonts w:ascii="Times New Roman" w:hAnsi="Times New Roman"/>
          <w:sz w:val="24"/>
          <w:szCs w:val="24"/>
        </w:rPr>
        <w:t>a</w:t>
      </w:r>
      <w:r w:rsidR="00C62DD9" w:rsidRPr="00B84706">
        <w:rPr>
          <w:rFonts w:ascii="Times New Roman" w:hAnsi="Times New Roman"/>
          <w:sz w:val="24"/>
          <w:szCs w:val="24"/>
        </w:rPr>
        <w:t>mely kiterjedt a polgármesterek, jegyzők, közigazgatási vezetők, falugondnokok, a tanulóifjúság, a pedagógusok, valamint a lako</w:t>
      </w:r>
      <w:r w:rsidR="002A7D02">
        <w:rPr>
          <w:rFonts w:ascii="Times New Roman" w:hAnsi="Times New Roman"/>
          <w:sz w:val="24"/>
          <w:szCs w:val="24"/>
        </w:rPr>
        <w:t xml:space="preserve">sság körére. </w:t>
      </w:r>
      <w:r w:rsidR="00C62DD9" w:rsidRPr="00B84706">
        <w:rPr>
          <w:rFonts w:ascii="Times New Roman" w:hAnsi="Times New Roman"/>
          <w:sz w:val="24"/>
          <w:szCs w:val="24"/>
        </w:rPr>
        <w:t>A polgári védelmi</w:t>
      </w:r>
      <w:r>
        <w:rPr>
          <w:rFonts w:ascii="Times New Roman" w:hAnsi="Times New Roman"/>
          <w:sz w:val="24"/>
          <w:szCs w:val="24"/>
        </w:rPr>
        <w:t xml:space="preserve"> szervezetek megalakítási tervei naprakészek</w:t>
      </w:r>
      <w:r w:rsidR="00C62DD9" w:rsidRPr="00B84706">
        <w:rPr>
          <w:rFonts w:ascii="Times New Roman" w:hAnsi="Times New Roman"/>
          <w:sz w:val="24"/>
          <w:szCs w:val="24"/>
        </w:rPr>
        <w:t>. A felkészítések dokumentálása megfelelő, azok tervszerűen, ciklikusan kerülnek végrehajtásra.</w:t>
      </w:r>
    </w:p>
    <w:p w14:paraId="2872DD36" w14:textId="77777777" w:rsidR="00FF33C4" w:rsidRDefault="00FF33C4" w:rsidP="00C62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17345" w14:textId="649065A1" w:rsidR="00FF33C4" w:rsidRDefault="00FF33C4" w:rsidP="00FF3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21B">
        <w:rPr>
          <w:rFonts w:ascii="Times New Roman" w:hAnsi="Times New Roman"/>
          <w:sz w:val="24"/>
          <w:szCs w:val="24"/>
        </w:rPr>
        <w:t>A települések katasztrófavédelmi osztály</w:t>
      </w:r>
      <w:r w:rsidR="00E43E45">
        <w:rPr>
          <w:rFonts w:ascii="Times New Roman" w:hAnsi="Times New Roman"/>
          <w:sz w:val="24"/>
          <w:szCs w:val="24"/>
        </w:rPr>
        <w:t xml:space="preserve">ba sorolásának felülvizsgálata megtörtént. </w:t>
      </w:r>
      <w:r w:rsidRPr="00B0321B">
        <w:rPr>
          <w:rFonts w:ascii="Times New Roman" w:hAnsi="Times New Roman"/>
          <w:sz w:val="24"/>
          <w:szCs w:val="24"/>
        </w:rPr>
        <w:t xml:space="preserve">2024-ben átsorolásra 3 település esetében </w:t>
      </w:r>
      <w:r w:rsidR="00033986">
        <w:rPr>
          <w:rFonts w:ascii="Times New Roman" w:hAnsi="Times New Roman"/>
          <w:sz w:val="24"/>
          <w:szCs w:val="24"/>
        </w:rPr>
        <w:t>került sor</w:t>
      </w:r>
      <w:r w:rsidR="00E43E45">
        <w:rPr>
          <w:rFonts w:ascii="Times New Roman" w:hAnsi="Times New Roman"/>
          <w:sz w:val="24"/>
          <w:szCs w:val="24"/>
        </w:rPr>
        <w:t xml:space="preserve"> </w:t>
      </w:r>
      <w:r w:rsidR="00033986">
        <w:rPr>
          <w:rFonts w:ascii="Times New Roman" w:hAnsi="Times New Roman"/>
          <w:sz w:val="24"/>
          <w:szCs w:val="24"/>
        </w:rPr>
        <w:t xml:space="preserve">(Diósd, Érd, </w:t>
      </w:r>
      <w:r w:rsidRPr="00B0321B">
        <w:rPr>
          <w:rFonts w:ascii="Times New Roman" w:hAnsi="Times New Roman"/>
          <w:sz w:val="24"/>
          <w:szCs w:val="24"/>
        </w:rPr>
        <w:t>Herceghalo</w:t>
      </w:r>
      <w:r w:rsidR="00033986">
        <w:rPr>
          <w:rFonts w:ascii="Times New Roman" w:hAnsi="Times New Roman"/>
          <w:sz w:val="24"/>
          <w:szCs w:val="24"/>
        </w:rPr>
        <w:t>m)</w:t>
      </w:r>
      <w:r w:rsidRPr="00B0321B">
        <w:rPr>
          <w:rFonts w:ascii="Times New Roman" w:hAnsi="Times New Roman"/>
          <w:sz w:val="24"/>
          <w:szCs w:val="24"/>
        </w:rPr>
        <w:t>.</w:t>
      </w:r>
    </w:p>
    <w:p w14:paraId="7DF5327A" w14:textId="77777777" w:rsidR="00C62DD9" w:rsidRDefault="00C62DD9" w:rsidP="00C62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4A2E23" w14:textId="77777777" w:rsidR="00FC4A9F" w:rsidRDefault="00FC4A9F" w:rsidP="00C62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8D454" w14:textId="77777777" w:rsidR="00FC4A9F" w:rsidRDefault="00FC4A9F" w:rsidP="00C62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07637" w14:textId="0FE3AC7D" w:rsidR="00203E6E" w:rsidRPr="00524A0D" w:rsidRDefault="00203E6E" w:rsidP="00203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A0D">
        <w:rPr>
          <w:rFonts w:ascii="Times New Roman" w:hAnsi="Times New Roman"/>
          <w:b/>
          <w:sz w:val="24"/>
          <w:szCs w:val="24"/>
        </w:rPr>
        <w:lastRenderedPageBreak/>
        <w:t xml:space="preserve">Önkéntes mentőszervezetek létszámadatai, </w:t>
      </w:r>
      <w:r w:rsidRPr="00A064C1">
        <w:rPr>
          <w:rFonts w:ascii="Times New Roman" w:hAnsi="Times New Roman"/>
          <w:b/>
          <w:sz w:val="24"/>
          <w:szCs w:val="24"/>
        </w:rPr>
        <w:t>b</w:t>
      </w:r>
      <w:r w:rsidR="0024584B">
        <w:rPr>
          <w:rFonts w:ascii="Times New Roman" w:hAnsi="Times New Roman"/>
          <w:b/>
          <w:sz w:val="24"/>
          <w:szCs w:val="24"/>
        </w:rPr>
        <w:t>eavatkozásaik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0E3F320" w14:textId="031EFE7A" w:rsidR="00203E6E" w:rsidRPr="00CB2C02" w:rsidRDefault="0024584B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Járási mentőcsoportok</w:t>
      </w:r>
    </w:p>
    <w:p w14:paraId="63F2CF9D" w14:textId="29C84AFE" w:rsidR="00203E6E" w:rsidRPr="00524A0D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24A0D">
        <w:rPr>
          <w:rFonts w:ascii="Times New Roman" w:hAnsi="Times New Roman"/>
          <w:sz w:val="24"/>
          <w:szCs w:val="24"/>
        </w:rPr>
        <w:t xml:space="preserve">Érdi „Benta” Járási Mentőcsoport létszáma </w:t>
      </w:r>
      <w:r w:rsidRPr="00534475">
        <w:rPr>
          <w:rFonts w:ascii="Times New Roman" w:hAnsi="Times New Roman"/>
          <w:sz w:val="24"/>
          <w:szCs w:val="24"/>
        </w:rPr>
        <w:t>33</w:t>
      </w:r>
      <w:r w:rsidR="00033986">
        <w:rPr>
          <w:rFonts w:ascii="Times New Roman" w:hAnsi="Times New Roman"/>
          <w:sz w:val="24"/>
          <w:szCs w:val="24"/>
        </w:rPr>
        <w:t xml:space="preserve"> fő. A létszámot az </w:t>
      </w:r>
      <w:r w:rsidRPr="00524A0D">
        <w:rPr>
          <w:rFonts w:ascii="Times New Roman" w:hAnsi="Times New Roman"/>
          <w:sz w:val="24"/>
          <w:szCs w:val="24"/>
        </w:rPr>
        <w:t xml:space="preserve">Érdi Polgárőr Egyesület, a Pest </w:t>
      </w:r>
      <w:r w:rsidR="00CB2C02">
        <w:rPr>
          <w:rFonts w:ascii="Times New Roman" w:hAnsi="Times New Roman"/>
          <w:sz w:val="24"/>
          <w:szCs w:val="24"/>
        </w:rPr>
        <w:t>Vármegye</w:t>
      </w:r>
      <w:r w:rsidRPr="00524A0D">
        <w:rPr>
          <w:rFonts w:ascii="Times New Roman" w:hAnsi="Times New Roman"/>
          <w:sz w:val="24"/>
          <w:szCs w:val="24"/>
        </w:rPr>
        <w:t xml:space="preserve">i Speciális Mentő és Önkéntes Tűzoltó Egyesület, valamint Tárnok Önkéntes Tűzoltó Egyesület </w:t>
      </w:r>
      <w:r w:rsidR="00033986">
        <w:rPr>
          <w:rFonts w:ascii="Times New Roman" w:hAnsi="Times New Roman"/>
          <w:sz w:val="24"/>
          <w:szCs w:val="24"/>
        </w:rPr>
        <w:t>teszi ki</w:t>
      </w:r>
      <w:r w:rsidRPr="00524A0D">
        <w:rPr>
          <w:rFonts w:ascii="Times New Roman" w:hAnsi="Times New Roman"/>
          <w:sz w:val="24"/>
          <w:szCs w:val="24"/>
        </w:rPr>
        <w:t>, illetve azok szakágai.</w:t>
      </w:r>
    </w:p>
    <w:p w14:paraId="7513B4B1" w14:textId="1B1CC2D8" w:rsidR="00203E6E" w:rsidRPr="00524A0D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24A0D">
        <w:rPr>
          <w:rFonts w:ascii="Times New Roman" w:hAnsi="Times New Roman"/>
          <w:sz w:val="24"/>
          <w:szCs w:val="24"/>
        </w:rPr>
        <w:t>Budakeszi „Vadas”</w:t>
      </w:r>
      <w:r>
        <w:rPr>
          <w:rFonts w:ascii="Times New Roman" w:hAnsi="Times New Roman"/>
          <w:sz w:val="24"/>
          <w:szCs w:val="24"/>
        </w:rPr>
        <w:t xml:space="preserve"> Járási Mentőcsoport</w:t>
      </w:r>
      <w:r w:rsidR="00033986">
        <w:rPr>
          <w:rFonts w:ascii="Times New Roman" w:hAnsi="Times New Roman"/>
          <w:sz w:val="24"/>
          <w:szCs w:val="24"/>
        </w:rPr>
        <w:t xml:space="preserve">ot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24A0D">
        <w:rPr>
          <w:rFonts w:ascii="Times New Roman" w:hAnsi="Times New Roman"/>
          <w:sz w:val="24"/>
          <w:szCs w:val="24"/>
        </w:rPr>
        <w:t xml:space="preserve">Biatorbágy-, Budaörs-, </w:t>
      </w:r>
      <w:r>
        <w:rPr>
          <w:rFonts w:ascii="Times New Roman" w:hAnsi="Times New Roman"/>
          <w:sz w:val="24"/>
          <w:szCs w:val="24"/>
        </w:rPr>
        <w:t xml:space="preserve">Páty-, </w:t>
      </w:r>
      <w:r w:rsidRPr="00524A0D">
        <w:rPr>
          <w:rFonts w:ascii="Times New Roman" w:hAnsi="Times New Roman"/>
          <w:sz w:val="24"/>
          <w:szCs w:val="24"/>
        </w:rPr>
        <w:t xml:space="preserve">Zsámbék Önkéntes Tűzoltó Egyesület és a Váradi Mentőszolgálat </w:t>
      </w:r>
      <w:r w:rsidR="00033986">
        <w:rPr>
          <w:rFonts w:ascii="Times New Roman" w:hAnsi="Times New Roman"/>
          <w:sz w:val="24"/>
          <w:szCs w:val="24"/>
        </w:rPr>
        <w:t xml:space="preserve">állománya alkotja. </w:t>
      </w:r>
    </w:p>
    <w:p w14:paraId="1007D168" w14:textId="10F3E41D" w:rsidR="00203E6E" w:rsidRPr="00524A0D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24A0D">
        <w:rPr>
          <w:rFonts w:ascii="Times New Roman" w:hAnsi="Times New Roman"/>
          <w:sz w:val="24"/>
          <w:szCs w:val="24"/>
        </w:rPr>
        <w:t xml:space="preserve">Martoni Járási mentőcsoport </w:t>
      </w:r>
      <w:r w:rsidR="00033986">
        <w:rPr>
          <w:rFonts w:ascii="Times New Roman" w:hAnsi="Times New Roman"/>
          <w:sz w:val="24"/>
          <w:szCs w:val="24"/>
        </w:rPr>
        <w:t xml:space="preserve">állományát </w:t>
      </w:r>
      <w:r>
        <w:rPr>
          <w:rFonts w:ascii="Times New Roman" w:hAnsi="Times New Roman"/>
          <w:sz w:val="24"/>
          <w:szCs w:val="24"/>
        </w:rPr>
        <w:t>a</w:t>
      </w:r>
      <w:r w:rsidRPr="00524A0D">
        <w:rPr>
          <w:rFonts w:ascii="Times New Roman" w:hAnsi="Times New Roman"/>
          <w:sz w:val="24"/>
          <w:szCs w:val="24"/>
        </w:rPr>
        <w:t xml:space="preserve"> </w:t>
      </w:r>
      <w:r w:rsidR="002D7D53">
        <w:rPr>
          <w:rFonts w:ascii="Times New Roman" w:hAnsi="Times New Roman"/>
          <w:sz w:val="24"/>
          <w:szCs w:val="24"/>
        </w:rPr>
        <w:t xml:space="preserve">Martonvásár ÖTE, a </w:t>
      </w:r>
      <w:r w:rsidRPr="00524A0D">
        <w:rPr>
          <w:rFonts w:ascii="Times New Roman" w:hAnsi="Times New Roman"/>
          <w:sz w:val="24"/>
          <w:szCs w:val="24"/>
        </w:rPr>
        <w:t>Vál Önkéntes Tűzoltó Egyesület,</w:t>
      </w:r>
      <w:r>
        <w:rPr>
          <w:rFonts w:ascii="Times New Roman" w:hAnsi="Times New Roman"/>
          <w:sz w:val="24"/>
          <w:szCs w:val="24"/>
        </w:rPr>
        <w:t xml:space="preserve"> az</w:t>
      </w:r>
      <w:r w:rsidRPr="00524A0D">
        <w:rPr>
          <w:rFonts w:ascii="Times New Roman" w:hAnsi="Times New Roman"/>
          <w:sz w:val="24"/>
          <w:szCs w:val="24"/>
        </w:rPr>
        <w:t xml:space="preserve"> Ercsi polgárőrség, Baracska</w:t>
      </w:r>
      <w:r w:rsidR="002D7D53">
        <w:rPr>
          <w:rFonts w:ascii="Times New Roman" w:hAnsi="Times New Roman"/>
          <w:sz w:val="24"/>
          <w:szCs w:val="24"/>
        </w:rPr>
        <w:t>i</w:t>
      </w:r>
      <w:r w:rsidRPr="00524A0D">
        <w:rPr>
          <w:rFonts w:ascii="Times New Roman" w:hAnsi="Times New Roman"/>
          <w:sz w:val="24"/>
          <w:szCs w:val="24"/>
        </w:rPr>
        <w:t xml:space="preserve"> és Ráckeresztú</w:t>
      </w:r>
      <w:r w:rsidR="002D7D53">
        <w:rPr>
          <w:rFonts w:ascii="Times New Roman" w:hAnsi="Times New Roman"/>
          <w:sz w:val="24"/>
          <w:szCs w:val="24"/>
        </w:rPr>
        <w:t>ri</w:t>
      </w:r>
      <w:r w:rsidRPr="00524A0D">
        <w:rPr>
          <w:rFonts w:ascii="Times New Roman" w:hAnsi="Times New Roman"/>
          <w:sz w:val="24"/>
          <w:szCs w:val="24"/>
        </w:rPr>
        <w:t xml:space="preserve"> civil önkéntesek</w:t>
      </w:r>
      <w:r w:rsidR="00033986">
        <w:rPr>
          <w:rFonts w:ascii="Times New Roman" w:hAnsi="Times New Roman"/>
          <w:sz w:val="24"/>
          <w:szCs w:val="24"/>
        </w:rPr>
        <w:t xml:space="preserve"> alkotják. </w:t>
      </w:r>
    </w:p>
    <w:p w14:paraId="714757C9" w14:textId="508D1BB5" w:rsidR="00203E6E" w:rsidRPr="00CB2C02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CB2C02">
        <w:rPr>
          <w:rFonts w:ascii="Times New Roman" w:hAnsi="Times New Roman"/>
          <w:sz w:val="24"/>
          <w:szCs w:val="24"/>
        </w:rPr>
        <w:t>A Járási Mentőcsoportok tagszervezetei rendelkeznek a képességek telj</w:t>
      </w:r>
      <w:r w:rsidR="00033986">
        <w:rPr>
          <w:rFonts w:ascii="Times New Roman" w:hAnsi="Times New Roman"/>
          <w:sz w:val="24"/>
          <w:szCs w:val="24"/>
        </w:rPr>
        <w:t>esítéshez szükséges eszközökkel (</w:t>
      </w:r>
      <w:r w:rsidRPr="00CB2C02">
        <w:rPr>
          <w:rFonts w:ascii="Times New Roman" w:hAnsi="Times New Roman"/>
          <w:sz w:val="24"/>
          <w:szCs w:val="24"/>
        </w:rPr>
        <w:t>híradó eszközök, láncfűrészek, aggregátorok, szivattyúk, emelők és</w:t>
      </w:r>
      <w:r w:rsidR="00C62838">
        <w:rPr>
          <w:rFonts w:ascii="Times New Roman" w:hAnsi="Times New Roman"/>
          <w:sz w:val="24"/>
          <w:szCs w:val="24"/>
        </w:rPr>
        <w:t xml:space="preserve"> </w:t>
      </w:r>
      <w:r w:rsidRPr="00CB2C02">
        <w:rPr>
          <w:rFonts w:ascii="Times New Roman" w:hAnsi="Times New Roman"/>
          <w:sz w:val="24"/>
          <w:szCs w:val="24"/>
        </w:rPr>
        <w:t>feszítő-vág</w:t>
      </w:r>
      <w:r w:rsidR="00033986">
        <w:rPr>
          <w:rFonts w:ascii="Times New Roman" w:hAnsi="Times New Roman"/>
          <w:sz w:val="24"/>
          <w:szCs w:val="24"/>
        </w:rPr>
        <w:t>ó berendezések). Az eszközfejlesztés</w:t>
      </w:r>
      <w:r w:rsidRPr="00CB2C02">
        <w:rPr>
          <w:rFonts w:ascii="Times New Roman" w:hAnsi="Times New Roman"/>
          <w:sz w:val="24"/>
          <w:szCs w:val="24"/>
        </w:rPr>
        <w:t>hez rendszeresen részt vesznek a központi pályázatokon.</w:t>
      </w:r>
    </w:p>
    <w:p w14:paraId="58FFA431" w14:textId="3C0940DA" w:rsidR="00203E6E" w:rsidRPr="00CB2C02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CB2C02">
        <w:rPr>
          <w:rFonts w:ascii="Times New Roman" w:hAnsi="Times New Roman"/>
          <w:sz w:val="24"/>
          <w:szCs w:val="24"/>
        </w:rPr>
        <w:t xml:space="preserve">A </w:t>
      </w:r>
      <w:r w:rsidR="00033986">
        <w:rPr>
          <w:rFonts w:ascii="Times New Roman" w:hAnsi="Times New Roman"/>
          <w:sz w:val="24"/>
          <w:szCs w:val="24"/>
        </w:rPr>
        <w:t>j</w:t>
      </w:r>
      <w:r w:rsidRPr="00CB2C02">
        <w:rPr>
          <w:rFonts w:ascii="Times New Roman" w:hAnsi="Times New Roman"/>
          <w:sz w:val="24"/>
          <w:szCs w:val="24"/>
        </w:rPr>
        <w:t xml:space="preserve">árási </w:t>
      </w:r>
      <w:r w:rsidR="00033986">
        <w:rPr>
          <w:rFonts w:ascii="Times New Roman" w:hAnsi="Times New Roman"/>
          <w:sz w:val="24"/>
          <w:szCs w:val="24"/>
        </w:rPr>
        <w:t>m</w:t>
      </w:r>
      <w:r w:rsidRPr="00CB2C02">
        <w:rPr>
          <w:rFonts w:ascii="Times New Roman" w:hAnsi="Times New Roman"/>
          <w:sz w:val="24"/>
          <w:szCs w:val="24"/>
        </w:rPr>
        <w:t xml:space="preserve">entőcsoportok a rendkívüli időjárás során bekövetkezett tömeges viharkárok és vízeltávolítások felszámolásában rendszeresen közreműködnek. </w:t>
      </w:r>
    </w:p>
    <w:p w14:paraId="4F3D4006" w14:textId="66FCD019" w:rsidR="00203E6E" w:rsidRPr="00CB2C02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B2C02">
        <w:rPr>
          <w:rFonts w:ascii="Times New Roman" w:hAnsi="Times New Roman"/>
          <w:sz w:val="24"/>
          <w:szCs w:val="24"/>
          <w:u w:val="single"/>
        </w:rPr>
        <w:t>Munkahelyi polgári v</w:t>
      </w:r>
      <w:r w:rsidR="0024584B">
        <w:rPr>
          <w:rFonts w:ascii="Times New Roman" w:hAnsi="Times New Roman"/>
          <w:sz w:val="24"/>
          <w:szCs w:val="24"/>
          <w:u w:val="single"/>
        </w:rPr>
        <w:t>édelmi szervezetek felkészítése</w:t>
      </w:r>
    </w:p>
    <w:p w14:paraId="03F1BEC7" w14:textId="3056454D" w:rsidR="00033986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24A0D">
        <w:rPr>
          <w:rFonts w:ascii="Times New Roman" w:hAnsi="Times New Roman"/>
          <w:sz w:val="24"/>
          <w:szCs w:val="24"/>
        </w:rPr>
        <w:t xml:space="preserve">Munkahelyi polgári védelmi szervezetbe a MOL Dunai Finomítóban (Százhalombatta) </w:t>
      </w:r>
      <w:r w:rsidRPr="002C0ED5">
        <w:rPr>
          <w:rFonts w:ascii="Times New Roman" w:hAnsi="Times New Roman"/>
          <w:sz w:val="24"/>
          <w:szCs w:val="24"/>
        </w:rPr>
        <w:t>54</w:t>
      </w:r>
      <w:r w:rsidRPr="00534475">
        <w:rPr>
          <w:rFonts w:ascii="Times New Roman" w:hAnsi="Times New Roman"/>
          <w:sz w:val="24"/>
          <w:szCs w:val="24"/>
        </w:rPr>
        <w:t xml:space="preserve"> fő</w:t>
      </w:r>
      <w:r w:rsidRPr="00524A0D">
        <w:rPr>
          <w:rFonts w:ascii="Times New Roman" w:hAnsi="Times New Roman"/>
          <w:sz w:val="24"/>
          <w:szCs w:val="24"/>
        </w:rPr>
        <w:t xml:space="preserve"> került beosztásra. </w:t>
      </w:r>
    </w:p>
    <w:p w14:paraId="78AD69F2" w14:textId="77777777" w:rsidR="00FC4A9F" w:rsidRPr="00524A0D" w:rsidRDefault="00FC4A9F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028BD90" w14:textId="1297CBB3" w:rsidR="00033986" w:rsidRPr="00CB2C02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CB2C02">
        <w:rPr>
          <w:rFonts w:ascii="Times New Roman" w:hAnsi="Times New Roman"/>
          <w:sz w:val="24"/>
          <w:szCs w:val="24"/>
        </w:rPr>
        <w:t xml:space="preserve">A HTP működési területén a polgármesterek a települési veszély-elhárítási terveket pontosították, a változásokról a kirendeltséget írásban tájékoztatták. A települési tervek alapján folyamatosan </w:t>
      </w:r>
      <w:r w:rsidR="00033986">
        <w:rPr>
          <w:rFonts w:ascii="Times New Roman" w:hAnsi="Times New Roman"/>
          <w:sz w:val="24"/>
          <w:szCs w:val="24"/>
        </w:rPr>
        <w:t>felülvizsgálatra</w:t>
      </w:r>
      <w:r w:rsidRPr="00CB2C02">
        <w:rPr>
          <w:rFonts w:ascii="Times New Roman" w:hAnsi="Times New Roman"/>
          <w:sz w:val="24"/>
          <w:szCs w:val="24"/>
        </w:rPr>
        <w:t xml:space="preserve"> kerülnek az Érd </w:t>
      </w:r>
      <w:proofErr w:type="spellStart"/>
      <w:r w:rsidRPr="00CB2C02">
        <w:rPr>
          <w:rFonts w:ascii="Times New Roman" w:hAnsi="Times New Roman"/>
          <w:sz w:val="24"/>
          <w:szCs w:val="24"/>
        </w:rPr>
        <w:t>KvK</w:t>
      </w:r>
      <w:proofErr w:type="spellEnd"/>
      <w:r w:rsidRPr="00CB2C02">
        <w:rPr>
          <w:rFonts w:ascii="Times New Roman" w:hAnsi="Times New Roman"/>
          <w:sz w:val="24"/>
          <w:szCs w:val="24"/>
        </w:rPr>
        <w:t xml:space="preserve"> összesített veszély-elhárítási terve és az Érd Járás Helyi Védelmi Bizottság veszély-elhárítási tervkivonata. </w:t>
      </w:r>
    </w:p>
    <w:p w14:paraId="6C840489" w14:textId="2FC653FD" w:rsidR="008B7F9C" w:rsidRPr="00CB2C02" w:rsidRDefault="00203E6E" w:rsidP="00CB2C02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CB2C02">
        <w:rPr>
          <w:rFonts w:ascii="Times New Roman" w:hAnsi="Times New Roman"/>
          <w:sz w:val="24"/>
          <w:szCs w:val="24"/>
        </w:rPr>
        <w:t>A veszély-elhárítási tervezés részeként kiemelt fontossággal kezeltük az adattárak naprakészen tartását (KAP online), az új adatok folyamatosan feltöltésre kerültek. A HELIOS Polgári Védelmi nyilvántartás adatbázisába a megszabott ütemterv alapján az adatok feltöltésre kerültek.</w:t>
      </w:r>
    </w:p>
    <w:p w14:paraId="730B4898" w14:textId="1D09C70A" w:rsidR="00916597" w:rsidRPr="007925AA" w:rsidRDefault="00916597" w:rsidP="00203E6E">
      <w:pPr>
        <w:widowControl w:val="0"/>
        <w:spacing w:before="120" w:after="120" w:line="24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25AA">
        <w:rPr>
          <w:rFonts w:ascii="Times New Roman" w:hAnsi="Times New Roman"/>
          <w:color w:val="000000"/>
          <w:sz w:val="24"/>
          <w:szCs w:val="24"/>
          <w:u w:val="single"/>
        </w:rPr>
        <w:t>Lakosságtájékoztatás, kapcsolattartás, közösségi</w:t>
      </w:r>
      <w:r w:rsidR="0024584B">
        <w:rPr>
          <w:rFonts w:ascii="Times New Roman" w:hAnsi="Times New Roman"/>
          <w:color w:val="000000"/>
          <w:sz w:val="24"/>
          <w:szCs w:val="24"/>
          <w:u w:val="single"/>
        </w:rPr>
        <w:t xml:space="preserve"> szolgálat, ifjúság felkészítés</w:t>
      </w:r>
    </w:p>
    <w:p w14:paraId="12ECDECA" w14:textId="7523538F" w:rsidR="00916597" w:rsidRPr="007925AA" w:rsidRDefault="00CF6DB3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62838">
        <w:rPr>
          <w:rFonts w:ascii="Times New Roman" w:hAnsi="Times New Roman"/>
          <w:sz w:val="24"/>
          <w:szCs w:val="24"/>
        </w:rPr>
        <w:t>4</w:t>
      </w:r>
      <w:r w:rsidR="00916597" w:rsidRPr="007925AA">
        <w:rPr>
          <w:rFonts w:ascii="Times New Roman" w:hAnsi="Times New Roman"/>
          <w:sz w:val="24"/>
          <w:szCs w:val="24"/>
        </w:rPr>
        <w:t>. évben is kiemelt feladatként kezeltük a működési területünk</w:t>
      </w:r>
      <w:r w:rsidR="00033986">
        <w:rPr>
          <w:rFonts w:ascii="Times New Roman" w:hAnsi="Times New Roman"/>
          <w:sz w:val="24"/>
          <w:szCs w:val="24"/>
        </w:rPr>
        <w:t xml:space="preserve">ön élő lakosság tájékoztatását a </w:t>
      </w:r>
      <w:r w:rsidR="00916597" w:rsidRPr="007925AA">
        <w:rPr>
          <w:rFonts w:ascii="Times New Roman" w:hAnsi="Times New Roman"/>
          <w:sz w:val="24"/>
          <w:szCs w:val="24"/>
        </w:rPr>
        <w:t xml:space="preserve">Pest </w:t>
      </w:r>
      <w:r w:rsidR="00CB2C02">
        <w:rPr>
          <w:rFonts w:ascii="Times New Roman" w:hAnsi="Times New Roman"/>
          <w:sz w:val="24"/>
          <w:szCs w:val="24"/>
        </w:rPr>
        <w:t>VMKI</w:t>
      </w:r>
      <w:r w:rsidR="00033986">
        <w:rPr>
          <w:rFonts w:ascii="Times New Roman" w:hAnsi="Times New Roman"/>
          <w:sz w:val="24"/>
          <w:szCs w:val="24"/>
        </w:rPr>
        <w:t xml:space="preserve"> szóvivőjének irányításával</w:t>
      </w:r>
      <w:r w:rsidR="00916597" w:rsidRPr="007925AA">
        <w:rPr>
          <w:rFonts w:ascii="Times New Roman" w:hAnsi="Times New Roman"/>
          <w:sz w:val="24"/>
          <w:szCs w:val="24"/>
        </w:rPr>
        <w:t>. A helyi médiában – TV műsorokban, rádiókban – rendszeresen jelentek meg a</w:t>
      </w:r>
      <w:r w:rsidR="00916597">
        <w:rPr>
          <w:rFonts w:ascii="Times New Roman" w:hAnsi="Times New Roman"/>
          <w:sz w:val="24"/>
          <w:szCs w:val="24"/>
        </w:rPr>
        <w:t xml:space="preserve">z Érd </w:t>
      </w:r>
      <w:proofErr w:type="spellStart"/>
      <w:r w:rsidR="00916597">
        <w:rPr>
          <w:rFonts w:ascii="Times New Roman" w:hAnsi="Times New Roman"/>
          <w:sz w:val="24"/>
          <w:szCs w:val="24"/>
        </w:rPr>
        <w:t>Kv</w:t>
      </w:r>
      <w:r w:rsidR="00916597" w:rsidRPr="007925AA">
        <w:rPr>
          <w:rFonts w:ascii="Times New Roman" w:hAnsi="Times New Roman"/>
          <w:sz w:val="24"/>
          <w:szCs w:val="24"/>
        </w:rPr>
        <w:t>K</w:t>
      </w:r>
      <w:proofErr w:type="spellEnd"/>
      <w:r w:rsidR="00916597" w:rsidRPr="007925AA">
        <w:rPr>
          <w:rFonts w:ascii="Times New Roman" w:hAnsi="Times New Roman"/>
          <w:sz w:val="24"/>
          <w:szCs w:val="24"/>
        </w:rPr>
        <w:t xml:space="preserve"> működé</w:t>
      </w:r>
      <w:r w:rsidR="00916597">
        <w:rPr>
          <w:rFonts w:ascii="Times New Roman" w:hAnsi="Times New Roman"/>
          <w:sz w:val="24"/>
          <w:szCs w:val="24"/>
        </w:rPr>
        <w:t>si területére jellemző megelőző</w:t>
      </w:r>
      <w:r w:rsidR="00916597" w:rsidRPr="007925AA">
        <w:rPr>
          <w:rFonts w:ascii="Times New Roman" w:hAnsi="Times New Roman"/>
          <w:sz w:val="24"/>
          <w:szCs w:val="24"/>
        </w:rPr>
        <w:t xml:space="preserve"> felhívások. A lakosságot érintő veszélyekről a szükséges szakmai anyagokat, tájékoztatókat számukra biztosítottuk, ily módon a lakosság tájékozódhatott a szabadtéri égetés szabályairól, a fűtési szezon veszélyeiről, a kéményseprő-ipari tevékenységről és a tűzvédelmi magatartási szabályok betartásáról.</w:t>
      </w:r>
    </w:p>
    <w:p w14:paraId="3B2650D1" w14:textId="6940295A" w:rsidR="00916597" w:rsidRPr="007925AA" w:rsidRDefault="00E43E45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Helyi Védelmi Bizottságok </w:t>
      </w:r>
    </w:p>
    <w:p w14:paraId="6F69C627" w14:textId="72B1E361" w:rsidR="00916597" w:rsidRPr="00E373F6" w:rsidRDefault="00855114" w:rsidP="002458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3F6">
        <w:rPr>
          <w:rFonts w:ascii="Times New Roman" w:hAnsi="Times New Roman"/>
          <w:sz w:val="24"/>
          <w:szCs w:val="24"/>
        </w:rPr>
        <w:t xml:space="preserve">A HTP működési területén 3 </w:t>
      </w:r>
      <w:r w:rsidR="00E43E45">
        <w:rPr>
          <w:rFonts w:ascii="Times New Roman" w:hAnsi="Times New Roman"/>
          <w:sz w:val="24"/>
          <w:szCs w:val="24"/>
        </w:rPr>
        <w:t>h</w:t>
      </w:r>
      <w:r w:rsidRPr="00E373F6">
        <w:rPr>
          <w:rFonts w:ascii="Times New Roman" w:hAnsi="Times New Roman"/>
          <w:sz w:val="24"/>
          <w:szCs w:val="24"/>
        </w:rPr>
        <w:t xml:space="preserve">elyi </w:t>
      </w:r>
      <w:r w:rsidR="00E43E45">
        <w:rPr>
          <w:rFonts w:ascii="Times New Roman" w:hAnsi="Times New Roman"/>
          <w:sz w:val="24"/>
          <w:szCs w:val="24"/>
        </w:rPr>
        <w:t>v</w:t>
      </w:r>
      <w:r w:rsidRPr="00E373F6">
        <w:rPr>
          <w:rFonts w:ascii="Times New Roman" w:hAnsi="Times New Roman"/>
          <w:sz w:val="24"/>
          <w:szCs w:val="24"/>
        </w:rPr>
        <w:t xml:space="preserve">édelmi </w:t>
      </w:r>
      <w:r w:rsidR="00E43E45">
        <w:rPr>
          <w:rFonts w:ascii="Times New Roman" w:hAnsi="Times New Roman"/>
          <w:sz w:val="24"/>
          <w:szCs w:val="24"/>
        </w:rPr>
        <w:t>b</w:t>
      </w:r>
      <w:r w:rsidRPr="00E373F6">
        <w:rPr>
          <w:rFonts w:ascii="Times New Roman" w:hAnsi="Times New Roman"/>
          <w:sz w:val="24"/>
          <w:szCs w:val="24"/>
        </w:rPr>
        <w:t>izottság (</w:t>
      </w:r>
      <w:r w:rsidR="00E43E45">
        <w:rPr>
          <w:rFonts w:ascii="Times New Roman" w:hAnsi="Times New Roman"/>
          <w:sz w:val="24"/>
          <w:szCs w:val="24"/>
        </w:rPr>
        <w:t xml:space="preserve">a továbbiakban: HVB) működése folyamatosan biztosított volt. Az </w:t>
      </w:r>
      <w:r w:rsidRPr="00E373F6">
        <w:rPr>
          <w:rFonts w:ascii="Times New Roman" w:hAnsi="Times New Roman"/>
          <w:sz w:val="24"/>
          <w:szCs w:val="24"/>
        </w:rPr>
        <w:t xml:space="preserve">elnököket a katasztrófavédelmi feladatainak ellátásában a </w:t>
      </w:r>
      <w:r w:rsidR="00E43E45">
        <w:rPr>
          <w:rFonts w:ascii="Times New Roman" w:hAnsi="Times New Roman"/>
          <w:sz w:val="24"/>
          <w:szCs w:val="24"/>
        </w:rPr>
        <w:t xml:space="preserve">kijelölt hivatásos tiszt, mint elnökhelyettes segíti (HTP parancsnok; </w:t>
      </w:r>
      <w:r w:rsidR="00916597" w:rsidRPr="00E373F6">
        <w:rPr>
          <w:rFonts w:ascii="Times New Roman" w:hAnsi="Times New Roman"/>
          <w:sz w:val="24"/>
          <w:szCs w:val="24"/>
        </w:rPr>
        <w:t>parancsn</w:t>
      </w:r>
      <w:r w:rsidR="00EF52A5">
        <w:rPr>
          <w:rFonts w:ascii="Times New Roman" w:hAnsi="Times New Roman"/>
          <w:sz w:val="24"/>
          <w:szCs w:val="24"/>
        </w:rPr>
        <w:t>ok-helyettes</w:t>
      </w:r>
      <w:r w:rsidR="00E43E45">
        <w:rPr>
          <w:rFonts w:ascii="Times New Roman" w:hAnsi="Times New Roman"/>
          <w:sz w:val="24"/>
          <w:szCs w:val="24"/>
        </w:rPr>
        <w:t>)</w:t>
      </w:r>
      <w:r w:rsidR="00916597" w:rsidRPr="00E373F6">
        <w:rPr>
          <w:rFonts w:ascii="Times New Roman" w:hAnsi="Times New Roman"/>
          <w:sz w:val="24"/>
          <w:szCs w:val="24"/>
        </w:rPr>
        <w:t>.</w:t>
      </w:r>
    </w:p>
    <w:p w14:paraId="47E3BE21" w14:textId="1C55E2B1" w:rsidR="00916597" w:rsidRPr="00685E00" w:rsidRDefault="00916597" w:rsidP="00FE475F">
      <w:pPr>
        <w:pStyle w:val="NormlWeb"/>
        <w:spacing w:before="120" w:beforeAutospacing="0" w:after="120" w:afterAutospacing="0"/>
        <w:jc w:val="both"/>
        <w:textAlignment w:val="baseline"/>
        <w:rPr>
          <w:color w:val="FF0000"/>
        </w:rPr>
      </w:pPr>
      <w:r w:rsidRPr="007925AA">
        <w:t xml:space="preserve">A </w:t>
      </w:r>
      <w:r w:rsidR="00E43E45">
        <w:t>j</w:t>
      </w:r>
      <w:r w:rsidRPr="007925AA">
        <w:t xml:space="preserve">árási </w:t>
      </w:r>
      <w:r w:rsidR="00E43E45">
        <w:t>h</w:t>
      </w:r>
      <w:r w:rsidRPr="007925AA">
        <w:t xml:space="preserve">elyi </w:t>
      </w:r>
      <w:r w:rsidR="00E43E45">
        <w:t>v</w:t>
      </w:r>
      <w:r w:rsidRPr="007925AA">
        <w:t xml:space="preserve">édelmi </w:t>
      </w:r>
      <w:r w:rsidR="00E43E45">
        <w:t>b</w:t>
      </w:r>
      <w:r w:rsidRPr="007925AA">
        <w:t>izottságo</w:t>
      </w:r>
      <w:r>
        <w:t xml:space="preserve">k </w:t>
      </w:r>
      <w:r w:rsidR="00E43E45">
        <w:t xml:space="preserve">a </w:t>
      </w:r>
      <w:r>
        <w:t>félév</w:t>
      </w:r>
      <w:r w:rsidR="00E43E45">
        <w:t>es üléseket megtartották. N</w:t>
      </w:r>
      <w:r w:rsidRPr="007925AA">
        <w:t xml:space="preserve">apirendi pontként </w:t>
      </w:r>
      <w:r w:rsidR="00E43E45">
        <w:t>tárgyalták</w:t>
      </w:r>
      <w:r>
        <w:t xml:space="preserve"> </w:t>
      </w:r>
      <w:r w:rsidR="00EF52A5">
        <w:t xml:space="preserve">az </w:t>
      </w:r>
      <w:r w:rsidR="00E43E45">
        <w:rPr>
          <w:rFonts w:eastAsia="DejaVu Sans" w:cs="DejaVu Sans"/>
          <w:bCs/>
          <w:color w:val="000000"/>
          <w:kern w:val="24"/>
        </w:rPr>
        <w:t>á</w:t>
      </w:r>
      <w:r w:rsidRPr="00BF00E1">
        <w:rPr>
          <w:rFonts w:eastAsia="DejaVu Sans" w:cs="DejaVu Sans"/>
          <w:bCs/>
          <w:color w:val="000000"/>
          <w:kern w:val="24"/>
        </w:rPr>
        <w:t xml:space="preserve">r- és belvíz, villámárvíz elleni védekezés </w:t>
      </w:r>
      <w:r w:rsidRPr="00BF00E1">
        <w:rPr>
          <w:rFonts w:eastAsia="+mn-ea" w:cs="Arial"/>
          <w:bCs/>
          <w:color w:val="000000"/>
          <w:kern w:val="24"/>
        </w:rPr>
        <w:t>és helyi vízkár-elhárítási</w:t>
      </w:r>
      <w:r w:rsidRPr="00BF00E1">
        <w:rPr>
          <w:rFonts w:eastAsia="+mn-ea" w:cs="Arial"/>
          <w:color w:val="000000"/>
          <w:kern w:val="24"/>
        </w:rPr>
        <w:t xml:space="preserve"> </w:t>
      </w:r>
      <w:r w:rsidR="00D56027">
        <w:rPr>
          <w:rFonts w:eastAsia="DejaVu Sans" w:cs="DejaVu Sans"/>
          <w:bCs/>
          <w:color w:val="000000"/>
          <w:kern w:val="24"/>
        </w:rPr>
        <w:t>felada</w:t>
      </w:r>
      <w:r w:rsidRPr="00BF00E1">
        <w:rPr>
          <w:rFonts w:eastAsia="DejaVu Sans" w:cs="DejaVu Sans"/>
          <w:bCs/>
          <w:color w:val="000000"/>
          <w:kern w:val="24"/>
        </w:rPr>
        <w:t>tok</w:t>
      </w:r>
      <w:r w:rsidR="00E43E45">
        <w:rPr>
          <w:rFonts w:eastAsia="DejaVu Sans" w:cs="DejaVu Sans"/>
          <w:bCs/>
          <w:color w:val="000000"/>
          <w:kern w:val="24"/>
        </w:rPr>
        <w:t>at</w:t>
      </w:r>
      <w:r w:rsidR="00D56027">
        <w:rPr>
          <w:rFonts w:eastAsia="DejaVu Sans" w:cs="DejaVu Sans"/>
          <w:bCs/>
          <w:color w:val="000000"/>
          <w:kern w:val="24"/>
        </w:rPr>
        <w:t>, valamint a vegetáció tüzek,</w:t>
      </w:r>
      <w:r>
        <w:rPr>
          <w:rFonts w:eastAsia="DejaVu Sans" w:cs="DejaVu Sans"/>
          <w:bCs/>
          <w:color w:val="000000"/>
          <w:kern w:val="24"/>
        </w:rPr>
        <w:t xml:space="preserve"> </w:t>
      </w:r>
      <w:r w:rsidR="00E43E45">
        <w:t xml:space="preserve">avar, </w:t>
      </w:r>
      <w:r w:rsidRPr="00A3628E">
        <w:t>ke</w:t>
      </w:r>
      <w:r>
        <w:t xml:space="preserve">rti hulladék </w:t>
      </w:r>
      <w:r w:rsidR="00E43E45">
        <w:t>szabadtéri égetését</w:t>
      </w:r>
      <w:r>
        <w:t>.</w:t>
      </w:r>
      <w:r w:rsidR="00685E00">
        <w:t xml:space="preserve"> </w:t>
      </w:r>
      <w:r w:rsidR="003205BB">
        <w:t>Bemutatásra</w:t>
      </w:r>
      <w:r w:rsidR="00C62DD9" w:rsidRPr="00010346">
        <w:rPr>
          <w:shd w:val="clear" w:color="auto" w:fill="FFFFFF" w:themeFill="background1"/>
        </w:rPr>
        <w:t xml:space="preserve"> került</w:t>
      </w:r>
      <w:r w:rsidR="00E43E45">
        <w:rPr>
          <w:shd w:val="clear" w:color="auto" w:fill="FFFFFF" w:themeFill="background1"/>
        </w:rPr>
        <w:t>ek</w:t>
      </w:r>
      <w:r w:rsidR="00C62DD9" w:rsidRPr="00010346">
        <w:rPr>
          <w:shd w:val="clear" w:color="auto" w:fill="FFFFFF" w:themeFill="background1"/>
        </w:rPr>
        <w:t xml:space="preserve"> a </w:t>
      </w:r>
      <w:r w:rsidR="00C62DD9" w:rsidRPr="00010346">
        <w:rPr>
          <w:shd w:val="clear" w:color="auto" w:fill="FFFFFF" w:themeFill="background1"/>
        </w:rPr>
        <w:lastRenderedPageBreak/>
        <w:t>sz</w:t>
      </w:r>
      <w:r w:rsidR="00E43E45">
        <w:rPr>
          <w:shd w:val="clear" w:color="auto" w:fill="FFFFFF" w:themeFill="background1"/>
        </w:rPr>
        <w:t>eptemberi d</w:t>
      </w:r>
      <w:r w:rsidR="00010346" w:rsidRPr="00010346">
        <w:rPr>
          <w:shd w:val="clear" w:color="auto" w:fill="FFFFFF" w:themeFill="background1"/>
        </w:rPr>
        <w:t xml:space="preserve">unai </w:t>
      </w:r>
      <w:r w:rsidR="00EF52A5" w:rsidRPr="00010346">
        <w:rPr>
          <w:shd w:val="clear" w:color="auto" w:fill="FFFFFF" w:themeFill="background1"/>
        </w:rPr>
        <w:t>árvíz</w:t>
      </w:r>
      <w:r w:rsidR="00C62DD9" w:rsidRPr="00010346">
        <w:rPr>
          <w:shd w:val="clear" w:color="auto" w:fill="FFFFFF" w:themeFill="background1"/>
        </w:rPr>
        <w:t>védelmi feladatok, a téli időjárás</w:t>
      </w:r>
      <w:r w:rsidR="006B3229" w:rsidRPr="00010346">
        <w:rPr>
          <w:shd w:val="clear" w:color="auto" w:fill="FFFFFF" w:themeFill="background1"/>
        </w:rPr>
        <w:t>i</w:t>
      </w:r>
      <w:r w:rsidR="00C62DD9" w:rsidRPr="00010346">
        <w:rPr>
          <w:shd w:val="clear" w:color="auto" w:fill="FFFFFF" w:themeFill="background1"/>
        </w:rPr>
        <w:t xml:space="preserve"> és a </w:t>
      </w:r>
      <w:r w:rsidR="00E43E45">
        <w:rPr>
          <w:shd w:val="clear" w:color="auto" w:fill="FFFFFF" w:themeFill="background1"/>
        </w:rPr>
        <w:t xml:space="preserve">fűtési szezon aktuális kérdései, </w:t>
      </w:r>
      <w:r w:rsidR="00C62DD9" w:rsidRPr="00010346">
        <w:rPr>
          <w:shd w:val="clear" w:color="auto" w:fill="FFFFFF" w:themeFill="background1"/>
        </w:rPr>
        <w:t xml:space="preserve">illetve hatósági </w:t>
      </w:r>
      <w:r w:rsidR="00E43E45">
        <w:rPr>
          <w:shd w:val="clear" w:color="auto" w:fill="FFFFFF" w:themeFill="background1"/>
        </w:rPr>
        <w:t>rész</w:t>
      </w:r>
      <w:r w:rsidR="00C62DD9" w:rsidRPr="00010346">
        <w:rPr>
          <w:shd w:val="clear" w:color="auto" w:fill="FFFFFF" w:themeFill="background1"/>
        </w:rPr>
        <w:t>feladatok.</w:t>
      </w:r>
    </w:p>
    <w:p w14:paraId="75183C8A" w14:textId="78F5D036" w:rsidR="002174A4" w:rsidRPr="007A7F6B" w:rsidRDefault="00916597" w:rsidP="007A7F6B">
      <w:p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925AA">
        <w:rPr>
          <w:rFonts w:ascii="Times New Roman" w:hAnsi="Times New Roman"/>
          <w:sz w:val="24"/>
          <w:szCs w:val="24"/>
          <w:lang w:eastAsia="hu-HU"/>
        </w:rPr>
        <w:t xml:space="preserve">A HVB-ken keresztül tájékoztattuk a településeket (kiemelten a zsáktelepülések polgármestereit) a rendkívüli téli </w:t>
      </w:r>
      <w:r w:rsidR="00571291">
        <w:rPr>
          <w:rFonts w:ascii="Times New Roman" w:hAnsi="Times New Roman"/>
          <w:sz w:val="24"/>
          <w:szCs w:val="24"/>
          <w:lang w:eastAsia="hu-HU"/>
        </w:rPr>
        <w:t xml:space="preserve">időjárásra való felkészülésről. A </w:t>
      </w:r>
      <w:r w:rsidRPr="007925AA">
        <w:rPr>
          <w:rFonts w:ascii="Times New Roman" w:hAnsi="Times New Roman"/>
          <w:sz w:val="24"/>
          <w:szCs w:val="24"/>
          <w:lang w:eastAsia="hu-HU"/>
        </w:rPr>
        <w:t>helyi sajátosságok, lehetőségek figyelembevételével javaslatokat tettünk a téli időjárás s</w:t>
      </w:r>
      <w:r w:rsidR="00E43E45">
        <w:rPr>
          <w:rFonts w:ascii="Times New Roman" w:hAnsi="Times New Roman"/>
          <w:sz w:val="24"/>
          <w:szCs w:val="24"/>
          <w:lang w:eastAsia="hu-HU"/>
        </w:rPr>
        <w:t>orán végrehajtandó feladataikra</w:t>
      </w:r>
      <w:r w:rsidR="00571291">
        <w:rPr>
          <w:rFonts w:ascii="Times New Roman" w:hAnsi="Times New Roman"/>
          <w:sz w:val="24"/>
          <w:szCs w:val="24"/>
          <w:lang w:eastAsia="hu-HU"/>
        </w:rPr>
        <w:t xml:space="preserve">. Továbbá tájékoztatást adtunk </w:t>
      </w:r>
      <w:r w:rsidRPr="007925AA">
        <w:rPr>
          <w:rFonts w:ascii="Times New Roman" w:hAnsi="Times New Roman"/>
          <w:sz w:val="24"/>
          <w:szCs w:val="24"/>
          <w:lang w:eastAsia="hu-HU"/>
        </w:rPr>
        <w:t>a fűtési sze</w:t>
      </w:r>
      <w:r w:rsidR="00571291">
        <w:rPr>
          <w:rFonts w:ascii="Times New Roman" w:hAnsi="Times New Roman"/>
          <w:sz w:val="24"/>
          <w:szCs w:val="24"/>
          <w:lang w:eastAsia="hu-HU"/>
        </w:rPr>
        <w:t>zon kezdetével és a kéményseprő-</w:t>
      </w:r>
      <w:r w:rsidRPr="007925AA">
        <w:rPr>
          <w:rFonts w:ascii="Times New Roman" w:hAnsi="Times New Roman"/>
          <w:sz w:val="24"/>
          <w:szCs w:val="24"/>
          <w:lang w:eastAsia="hu-HU"/>
        </w:rPr>
        <w:t>ipari szolgáltatással kapcsolatos feladatokról, illetve felhívtuk a figyelmüket, hogy a lakossági tájékoztató anyagokat – pl. hasznos tanácsok t</w:t>
      </w:r>
      <w:r w:rsidR="00571291">
        <w:rPr>
          <w:rFonts w:ascii="Times New Roman" w:hAnsi="Times New Roman"/>
          <w:sz w:val="24"/>
          <w:szCs w:val="24"/>
          <w:lang w:eastAsia="hu-HU"/>
        </w:rPr>
        <w:t>éli időjárás esetén – a helyben</w:t>
      </w:r>
      <w:r w:rsidRPr="007925AA">
        <w:rPr>
          <w:rFonts w:ascii="Times New Roman" w:hAnsi="Times New Roman"/>
          <w:sz w:val="24"/>
          <w:szCs w:val="24"/>
          <w:lang w:eastAsia="hu-HU"/>
        </w:rPr>
        <w:t xml:space="preserve"> szokásos módon juttassák el a lakosság részére.</w:t>
      </w:r>
    </w:p>
    <w:p w14:paraId="102691BB" w14:textId="5D9CCA99" w:rsidR="00783613" w:rsidRPr="00CB788C" w:rsidRDefault="008D55E1" w:rsidP="00783613">
      <w:pPr>
        <w:pStyle w:val="Cmsor1"/>
        <w:spacing w:before="100" w:beforeAutospacing="1" w:after="100" w:afterAutospacing="1"/>
        <w:rPr>
          <w:b/>
        </w:rPr>
      </w:pPr>
      <w:bookmarkStart w:id="13" w:name="_Toc535572346"/>
      <w:bookmarkStart w:id="14" w:name="_Toc194919349"/>
      <w:r w:rsidRPr="008D55E1">
        <w:rPr>
          <w:b/>
        </w:rPr>
        <w:t>Hatósági tevékenység</w:t>
      </w:r>
      <w:bookmarkEnd w:id="13"/>
      <w:r w:rsidR="00783613">
        <w:rPr>
          <w:b/>
        </w:rPr>
        <w:t>, t</w:t>
      </w:r>
      <w:r w:rsidR="00783613" w:rsidRPr="007925AA">
        <w:rPr>
          <w:b/>
        </w:rPr>
        <w:t>űzvédelem, megelőzés</w:t>
      </w:r>
      <w:bookmarkEnd w:id="14"/>
    </w:p>
    <w:p w14:paraId="514278D8" w14:textId="6D21CFF0" w:rsidR="008D55E1" w:rsidRPr="00571291" w:rsidRDefault="008D55E1" w:rsidP="0057129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 xml:space="preserve">A HTP 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>hatósági ügyek során elj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 xml:space="preserve">árási részcselekményeket végez </w:t>
      </w: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>a gyors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abb és hatékonyabb ügyintézés, továbbá</w:t>
      </w: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 xml:space="preserve"> a költséghatékonyság érdekében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E22CFDB" w14:textId="3F37547A" w:rsidR="008D55E1" w:rsidRPr="00942A99" w:rsidRDefault="008D55E1" w:rsidP="008D55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 xml:space="preserve">A tűzoltói beavatkozások jellemző helyszíneinek vizsgálatával a korábbi évek beavatkozási tapasztalatai alapján, kijelölésre kerültek azok a kockázati helyszínek, amelyek évről-évre jelentős kapacitást kötöttek le. </w:t>
      </w:r>
      <w:r w:rsidR="00783613" w:rsidRPr="007925AA">
        <w:rPr>
          <w:rFonts w:ascii="Times New Roman" w:hAnsi="Times New Roman"/>
          <w:sz w:val="24"/>
          <w:szCs w:val="24"/>
        </w:rPr>
        <w:t xml:space="preserve">A </w:t>
      </w:r>
      <w:r w:rsidR="00783613">
        <w:rPr>
          <w:rFonts w:ascii="Times New Roman" w:hAnsi="Times New Roman"/>
          <w:sz w:val="24"/>
          <w:szCs w:val="24"/>
        </w:rPr>
        <w:t>készenléti szolgálat</w:t>
      </w:r>
      <w:r w:rsidR="00783613" w:rsidRPr="007925AA">
        <w:rPr>
          <w:rFonts w:ascii="Times New Roman" w:hAnsi="Times New Roman"/>
          <w:sz w:val="24"/>
          <w:szCs w:val="24"/>
        </w:rPr>
        <w:t xml:space="preserve"> </w:t>
      </w:r>
      <w:r w:rsidR="00783613">
        <w:rPr>
          <w:rFonts w:ascii="Times New Roman" w:hAnsi="Times New Roman"/>
          <w:sz w:val="24"/>
          <w:szCs w:val="24"/>
        </w:rPr>
        <w:t xml:space="preserve">a </w:t>
      </w:r>
      <w:r w:rsidR="00783613" w:rsidRPr="007925AA">
        <w:rPr>
          <w:rFonts w:ascii="Times New Roman" w:hAnsi="Times New Roman"/>
          <w:sz w:val="24"/>
          <w:szCs w:val="24"/>
        </w:rPr>
        <w:t>szermozg</w:t>
      </w:r>
      <w:r w:rsidR="00783613">
        <w:rPr>
          <w:rFonts w:ascii="Times New Roman" w:hAnsi="Times New Roman"/>
          <w:sz w:val="24"/>
          <w:szCs w:val="24"/>
        </w:rPr>
        <w:t>áso</w:t>
      </w:r>
      <w:r w:rsidR="00783613" w:rsidRPr="007925AA">
        <w:rPr>
          <w:rFonts w:ascii="Times New Roman" w:hAnsi="Times New Roman"/>
          <w:sz w:val="24"/>
          <w:szCs w:val="24"/>
        </w:rPr>
        <w:t>k alkalmával</w:t>
      </w:r>
      <w:r w:rsidR="00783613">
        <w:rPr>
          <w:rFonts w:ascii="Times New Roman" w:hAnsi="Times New Roman"/>
          <w:sz w:val="24"/>
          <w:szCs w:val="24"/>
        </w:rPr>
        <w:t xml:space="preserve"> vett részt a preventív munkában, </w:t>
      </w:r>
      <w:r w:rsidR="00571291">
        <w:rPr>
          <w:rFonts w:ascii="Times New Roman" w:hAnsi="Times New Roman"/>
          <w:sz w:val="24"/>
          <w:szCs w:val="24"/>
        </w:rPr>
        <w:t>a</w:t>
      </w:r>
      <w:r w:rsidR="00783613">
        <w:rPr>
          <w:rFonts w:ascii="Times New Roman" w:hAnsi="Times New Roman"/>
          <w:sz w:val="24"/>
          <w:szCs w:val="24"/>
        </w:rPr>
        <w:t xml:space="preserve">mely során </w:t>
      </w:r>
      <w:r w:rsidR="00783613" w:rsidRPr="00642610">
        <w:rPr>
          <w:rFonts w:ascii="Times New Roman" w:hAnsi="Times New Roman"/>
          <w:sz w:val="24"/>
          <w:szCs w:val="24"/>
        </w:rPr>
        <w:t>ellenőrzéseket</w:t>
      </w:r>
      <w:r w:rsidR="00783613" w:rsidRPr="00F469C8">
        <w:rPr>
          <w:rFonts w:ascii="Times New Roman" w:hAnsi="Times New Roman"/>
          <w:sz w:val="24"/>
          <w:szCs w:val="24"/>
        </w:rPr>
        <w:t xml:space="preserve"> </w:t>
      </w:r>
      <w:r w:rsidR="00A16492">
        <w:rPr>
          <w:rFonts w:ascii="Times New Roman" w:hAnsi="Times New Roman"/>
          <w:sz w:val="24"/>
          <w:szCs w:val="24"/>
        </w:rPr>
        <w:t xml:space="preserve">hajtottak végre a tervezett </w:t>
      </w:r>
      <w:r w:rsidR="00783613" w:rsidRPr="007925AA">
        <w:rPr>
          <w:rFonts w:ascii="Times New Roman" w:hAnsi="Times New Roman"/>
          <w:sz w:val="24"/>
          <w:szCs w:val="24"/>
        </w:rPr>
        <w:t>tűzoltó vízforrások</w:t>
      </w:r>
      <w:r w:rsidR="00783613">
        <w:rPr>
          <w:rFonts w:ascii="Times New Roman" w:hAnsi="Times New Roman"/>
          <w:sz w:val="24"/>
          <w:szCs w:val="24"/>
        </w:rPr>
        <w:t xml:space="preserve"> kapcsán</w:t>
      </w:r>
      <w:r w:rsidR="00783613" w:rsidRPr="007925AA">
        <w:rPr>
          <w:rFonts w:ascii="Times New Roman" w:hAnsi="Times New Roman"/>
          <w:sz w:val="24"/>
          <w:szCs w:val="24"/>
        </w:rPr>
        <w:t>, szabadtéri</w:t>
      </w:r>
      <w:r w:rsidR="00783613">
        <w:rPr>
          <w:rFonts w:ascii="Times New Roman" w:hAnsi="Times New Roman"/>
          <w:sz w:val="24"/>
          <w:szCs w:val="24"/>
        </w:rPr>
        <w:t xml:space="preserve"> tűzesetek által érintett</w:t>
      </w:r>
      <w:r w:rsidR="00783613" w:rsidRPr="007925AA">
        <w:rPr>
          <w:rFonts w:ascii="Times New Roman" w:hAnsi="Times New Roman"/>
          <w:sz w:val="24"/>
          <w:szCs w:val="24"/>
        </w:rPr>
        <w:t>,</w:t>
      </w:r>
      <w:r w:rsidR="00783613">
        <w:rPr>
          <w:rFonts w:ascii="Times New Roman" w:hAnsi="Times New Roman"/>
          <w:sz w:val="24"/>
          <w:szCs w:val="24"/>
        </w:rPr>
        <w:t xml:space="preserve"> továbbá szabadtéri rendezvények, vízelvezetők, </w:t>
      </w:r>
      <w:r w:rsidR="00783613" w:rsidRPr="007925AA">
        <w:rPr>
          <w:rFonts w:ascii="Times New Roman" w:hAnsi="Times New Roman"/>
          <w:sz w:val="24"/>
          <w:szCs w:val="24"/>
        </w:rPr>
        <w:t xml:space="preserve">illetve téli </w:t>
      </w:r>
      <w:r w:rsidR="00783613" w:rsidRPr="00642610">
        <w:rPr>
          <w:rFonts w:ascii="Times New Roman" w:hAnsi="Times New Roman"/>
          <w:sz w:val="24"/>
          <w:szCs w:val="24"/>
        </w:rPr>
        <w:t>ko</w:t>
      </w:r>
      <w:r w:rsidR="00783613">
        <w:rPr>
          <w:rFonts w:ascii="Times New Roman" w:hAnsi="Times New Roman"/>
          <w:sz w:val="24"/>
          <w:szCs w:val="24"/>
        </w:rPr>
        <w:t>ckázati- helyszíneken</w:t>
      </w:r>
      <w:r w:rsidR="00783613" w:rsidRPr="00642610">
        <w:rPr>
          <w:rFonts w:ascii="Times New Roman" w:hAnsi="Times New Roman"/>
          <w:sz w:val="24"/>
          <w:szCs w:val="24"/>
        </w:rPr>
        <w:t>, ezzel is elősegítve a hatósági eljárások</w:t>
      </w:r>
      <w:r w:rsidR="00783613">
        <w:rPr>
          <w:rFonts w:ascii="Times New Roman" w:hAnsi="Times New Roman"/>
          <w:sz w:val="24"/>
          <w:szCs w:val="24"/>
        </w:rPr>
        <w:t xml:space="preserve"> hatékony lefolytatását. A </w:t>
      </w:r>
      <w:r w:rsidR="00783613" w:rsidRPr="007925AA">
        <w:rPr>
          <w:rFonts w:ascii="Times New Roman" w:hAnsi="Times New Roman"/>
          <w:sz w:val="24"/>
          <w:szCs w:val="24"/>
        </w:rPr>
        <w:t>feltárt hiányosságok</w:t>
      </w:r>
      <w:r w:rsidR="00571291">
        <w:rPr>
          <w:rFonts w:ascii="Times New Roman" w:hAnsi="Times New Roman"/>
          <w:sz w:val="24"/>
          <w:szCs w:val="24"/>
        </w:rPr>
        <w:t xml:space="preserve">ra a kirendeltség intézkedett. </w:t>
      </w: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>Az elmúlt években a kockázati helyszíneken végrehajtott ellenőrzések és a preventív munka eredményeképpen a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Pr="00942A99">
        <w:rPr>
          <w:rFonts w:ascii="Times New Roman" w:eastAsia="Times New Roman" w:hAnsi="Times New Roman"/>
          <w:sz w:val="24"/>
          <w:szCs w:val="24"/>
          <w:lang w:eastAsia="hu-HU"/>
        </w:rPr>
        <w:t>. év során nagymértékben csökkent az erdő,- vegetáció karbantartásának hiányában kialakult tüzek száma.</w:t>
      </w:r>
    </w:p>
    <w:p w14:paraId="13CF322A" w14:textId="54282B03" w:rsidR="004D338E" w:rsidRDefault="00D31159" w:rsidP="00783613">
      <w:pPr>
        <w:spacing w:before="120"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8D55E1" w:rsidRPr="00942A99">
        <w:rPr>
          <w:rFonts w:ascii="Times New Roman" w:eastAsia="Times New Roman" w:hAnsi="Times New Roman"/>
          <w:sz w:val="24"/>
          <w:szCs w:val="24"/>
          <w:lang w:eastAsia="hu-HU"/>
        </w:rPr>
        <w:t xml:space="preserve">gyakorlatok, helyismereti foglalkozások, valamint a káresemények során fokozott figyelmet fordítottunk a tűzoltási beavatkozással kapcsolatos feltételek biztosítottságának meglétére, így például 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a megfelelő oltóvíz rendelkezés</w:t>
      </w:r>
      <w:r w:rsidR="008D55E1" w:rsidRPr="00942A99">
        <w:rPr>
          <w:rFonts w:ascii="Times New Roman" w:eastAsia="Times New Roman" w:hAnsi="Times New Roman"/>
          <w:sz w:val="24"/>
          <w:szCs w:val="24"/>
          <w:lang w:eastAsia="hu-HU"/>
        </w:rPr>
        <w:t>re állásával kapcsolatos előírásokra. 20</w:t>
      </w:r>
      <w:r w:rsidR="00783613"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8D55E1" w:rsidRPr="00942A99">
        <w:rPr>
          <w:rFonts w:ascii="Times New Roman" w:eastAsia="Times New Roman" w:hAnsi="Times New Roman"/>
          <w:sz w:val="24"/>
          <w:szCs w:val="24"/>
          <w:lang w:eastAsia="hu-HU"/>
        </w:rPr>
        <w:t xml:space="preserve">. évben számos esetben, a feltárt hiányosságok megszüntetését kezdeményeztük a települések vízszolgáltatóival szemben, 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8D55E1" w:rsidRPr="00942A99">
        <w:rPr>
          <w:rFonts w:ascii="Times New Roman" w:eastAsia="Times New Roman" w:hAnsi="Times New Roman"/>
          <w:sz w:val="24"/>
          <w:szCs w:val="24"/>
          <w:lang w:eastAsia="hu-HU"/>
        </w:rPr>
        <w:t>mely jelentős mértékben hozzájárul a jövőben bekövetkező káresetek hatékony felszámolásához.</w:t>
      </w:r>
      <w:r w:rsidR="007836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206104D" w14:textId="64B3A88F" w:rsidR="00D31159" w:rsidRPr="00D31159" w:rsidRDefault="00D31159" w:rsidP="00783613">
      <w:pPr>
        <w:spacing w:before="120"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1159">
        <w:rPr>
          <w:rFonts w:ascii="Times New Roman" w:eastAsia="Times New Roman" w:hAnsi="Times New Roman"/>
          <w:sz w:val="24"/>
          <w:szCs w:val="24"/>
          <w:lang w:eastAsia="hu-HU"/>
        </w:rPr>
        <w:t>A Területi Tűzmegelőzési Bizottság munkáját támogatva szóbeli és írásos tájékoztatás történt az időszakosan visszatérő tűzvédelmi kérdésekkel kapcsolatban. A HTP működési területén keletkezett tűzesetek, káresetek felszámolásakor intézkedési tevékenységünkkel a 2024. évben is a lakosság védelmét szolgáltuk. A személyes részvétellel járó rendezvényeken is megjelentünk, és fokozott figyelmet fordítottunk az online felületeken történő ismeretanyagok megjelenítésére is.</w:t>
      </w:r>
    </w:p>
    <w:p w14:paraId="18B44AF1" w14:textId="741661A6" w:rsidR="004D338E" w:rsidRDefault="004D338E" w:rsidP="004D338E">
      <w:pPr>
        <w:pStyle w:val="Norml1"/>
        <w:spacing w:after="120"/>
        <w:jc w:val="both"/>
      </w:pPr>
      <w:r w:rsidRPr="00FC397F">
        <w:rPr>
          <w:rFonts w:cs="Calibri"/>
          <w:szCs w:val="22"/>
          <w:lang w:eastAsia="en-US"/>
        </w:rPr>
        <w:t xml:space="preserve">2024. október 1-jei hatállyal </w:t>
      </w:r>
      <w:r>
        <w:rPr>
          <w:rFonts w:cs="Calibri"/>
          <w:szCs w:val="22"/>
          <w:lang w:eastAsia="en-US"/>
        </w:rPr>
        <w:t xml:space="preserve">– </w:t>
      </w:r>
      <w:r w:rsidRPr="00FC397F">
        <w:rPr>
          <w:rFonts w:cs="Calibri"/>
          <w:szCs w:val="22"/>
          <w:lang w:eastAsia="en-US"/>
        </w:rPr>
        <w:t xml:space="preserve">egyes </w:t>
      </w:r>
      <w:r>
        <w:rPr>
          <w:rFonts w:cs="Calibri"/>
          <w:szCs w:val="22"/>
          <w:lang w:eastAsia="en-US"/>
        </w:rPr>
        <w:t xml:space="preserve">tűzvédelmi, iparbiztonsági, valamint a vízügyi, vízvédelmi </w:t>
      </w:r>
      <w:r w:rsidRPr="00FC397F">
        <w:rPr>
          <w:rFonts w:cs="Calibri"/>
          <w:szCs w:val="22"/>
          <w:lang w:eastAsia="en-US"/>
        </w:rPr>
        <w:t xml:space="preserve">hatósági hatáskörök változásával </w:t>
      </w:r>
      <w:r>
        <w:rPr>
          <w:rFonts w:cs="Calibri"/>
          <w:szCs w:val="22"/>
          <w:lang w:eastAsia="en-US"/>
        </w:rPr>
        <w:t xml:space="preserve">– </w:t>
      </w:r>
      <w:r w:rsidRPr="00FC397F">
        <w:rPr>
          <w:rFonts w:cs="Calibri"/>
          <w:szCs w:val="22"/>
          <w:lang w:eastAsia="en-US"/>
        </w:rPr>
        <w:t xml:space="preserve">a kormányhivatalhoz kerültek telepítésre a meghatározott feladatkörök. A parancsnokság hatósági eljárásokat támogató feladatai a hatáskör változást követően módosultak.  Minden esetben továbbra is figyelemmel voltunk a szolgáltató hatósági szemlélet biztosítására. </w:t>
      </w:r>
      <w:r>
        <w:t xml:space="preserve">A területen tapasztalható, valamint </w:t>
      </w:r>
      <w:r w:rsidRPr="00051D50">
        <w:t xml:space="preserve">a tűzoltói beavatkozásokat érintő </w:t>
      </w:r>
      <w:r>
        <w:t xml:space="preserve">körülményekről hatáskörébe tartozóan a Kormányhivatal tájékoztatása megtörtént. </w:t>
      </w:r>
    </w:p>
    <w:p w14:paraId="5F6AD944" w14:textId="1BAA481F" w:rsidR="00916597" w:rsidRPr="007925AA" w:rsidRDefault="00916597" w:rsidP="00916597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5" w:name="_Toc194919350"/>
      <w:r w:rsidRPr="007925AA">
        <w:rPr>
          <w:rFonts w:ascii="Times New Roman" w:hAnsi="Times New Roman"/>
          <w:b/>
          <w:sz w:val="24"/>
          <w:szCs w:val="24"/>
        </w:rPr>
        <w:t>Ügyeleti</w:t>
      </w:r>
      <w:r w:rsidR="008D55E1">
        <w:rPr>
          <w:rFonts w:ascii="Times New Roman" w:hAnsi="Times New Roman"/>
          <w:b/>
          <w:sz w:val="24"/>
          <w:szCs w:val="24"/>
        </w:rPr>
        <w:t>, híradó, informatikai</w:t>
      </w:r>
      <w:r w:rsidRPr="007925AA">
        <w:rPr>
          <w:rFonts w:ascii="Times New Roman" w:hAnsi="Times New Roman"/>
          <w:b/>
          <w:sz w:val="24"/>
          <w:szCs w:val="24"/>
        </w:rPr>
        <w:t xml:space="preserve"> tevékenység</w:t>
      </w:r>
      <w:bookmarkEnd w:id="15"/>
    </w:p>
    <w:p w14:paraId="211DF6D9" w14:textId="48A98C8A" w:rsidR="00916597" w:rsidRPr="00524A0D" w:rsidRDefault="001A6134" w:rsidP="00FE475F">
      <w:pPr>
        <w:pStyle w:val="NormlWeb"/>
        <w:spacing w:before="120" w:beforeAutospacing="0" w:after="120" w:afterAutospacing="0"/>
        <w:jc w:val="both"/>
      </w:pPr>
      <w:r>
        <w:t xml:space="preserve">Az </w:t>
      </w:r>
      <w:r w:rsidR="003D62BB">
        <w:t>Érd</w:t>
      </w:r>
      <w:r w:rsidR="00916597">
        <w:t xml:space="preserve"> </w:t>
      </w:r>
      <w:proofErr w:type="spellStart"/>
      <w:r w:rsidR="00916597">
        <w:t>HTP-n</w:t>
      </w:r>
      <w:proofErr w:type="spellEnd"/>
      <w:r w:rsidR="00916597">
        <w:t xml:space="preserve"> 24 órás ügyeleti szolgálat működik, amely ellátja a közvetlen jelzések vételét, és az azzal kapcsolatos további intézkedéseket végzi. A híradó-ügyeletes folyamatos </w:t>
      </w:r>
      <w:r w:rsidR="00916597">
        <w:lastRenderedPageBreak/>
        <w:t xml:space="preserve">kapcsolatot tart a </w:t>
      </w:r>
      <w:r w:rsidR="00916597" w:rsidRPr="00524A0D">
        <w:t>káresetek, műszaki mentések, tömeges események alkalmával a</w:t>
      </w:r>
      <w:r w:rsidR="00916597">
        <w:t xml:space="preserve"> </w:t>
      </w:r>
      <w:r w:rsidR="00916597" w:rsidRPr="00524A0D">
        <w:t xml:space="preserve">Pest </w:t>
      </w:r>
      <w:r w:rsidR="00CB2C02">
        <w:t>VMKI</w:t>
      </w:r>
      <w:r w:rsidR="00916597">
        <w:t xml:space="preserve"> ügyeletével.</w:t>
      </w:r>
      <w:r w:rsidR="00916597" w:rsidRPr="00524A0D">
        <w:t xml:space="preserve"> A riasztási lap megérkezését követően a</w:t>
      </w:r>
      <w:r>
        <w:t xml:space="preserve">z </w:t>
      </w:r>
      <w:r w:rsidR="00916597" w:rsidRPr="00524A0D">
        <w:t xml:space="preserve">ügyeletes állandó rádió kapcsolatban áll </w:t>
      </w:r>
      <w:r w:rsidR="00571291">
        <w:t xml:space="preserve">a riasztási közleményt adó és </w:t>
      </w:r>
      <w:r w:rsidR="00916597" w:rsidRPr="00524A0D">
        <w:t>a beavat</w:t>
      </w:r>
      <w:r w:rsidR="00916597">
        <w:t>kozást végző állomány tagjaival</w:t>
      </w:r>
      <w:r w:rsidR="00916597" w:rsidRPr="00524A0D">
        <w:t xml:space="preserve">. </w:t>
      </w:r>
      <w:r w:rsidR="00916597">
        <w:t xml:space="preserve">A híradó-szolgálatot ellátók a részükre előírt </w:t>
      </w:r>
      <w:r w:rsidR="00916597" w:rsidRPr="00524A0D">
        <w:t>továbbképzéseken</w:t>
      </w:r>
      <w:r w:rsidR="00916597">
        <w:t xml:space="preserve"> részt vettek. A kárhelyszínen történő beavatkozásokat aktívan és hatékonyan képesek a szolgálatot teljesítő tűzoltók </w:t>
      </w:r>
      <w:r w:rsidR="00571291">
        <w:t>támogatni</w:t>
      </w:r>
      <w:r w:rsidR="00916597">
        <w:t xml:space="preserve">. Az ügyeleten kezelt dokumentációkban szereplő adatokat </w:t>
      </w:r>
      <w:r w:rsidR="00571291">
        <w:t>folyamatosan</w:t>
      </w:r>
      <w:r w:rsidR="00916597">
        <w:t xml:space="preserve"> </w:t>
      </w:r>
      <w:r w:rsidR="00D56E7C">
        <w:t>pontosítottuk</w:t>
      </w:r>
      <w:r w:rsidR="00916597">
        <w:t xml:space="preserve"> (téli adattár, létesítmény nyilvánta</w:t>
      </w:r>
      <w:r w:rsidR="00D56027">
        <w:t>rtás, Tűzoltási Műszaki M</w:t>
      </w:r>
      <w:r w:rsidR="00916597">
        <w:t>entési Tervek) ezzel is elősegítve a káreseteknél történő munka</w:t>
      </w:r>
      <w:r w:rsidR="00666792">
        <w:t xml:space="preserve"> hatékony</w:t>
      </w:r>
      <w:r w:rsidR="00571291">
        <w:t>ságát</w:t>
      </w:r>
      <w:r w:rsidR="00916597">
        <w:t>.</w:t>
      </w:r>
      <w:r w:rsidR="00685E00">
        <w:t xml:space="preserve"> </w:t>
      </w:r>
    </w:p>
    <w:p w14:paraId="1E553416" w14:textId="2406F2F9" w:rsidR="00571291" w:rsidRPr="004D338E" w:rsidRDefault="003D62BB" w:rsidP="00FE475F">
      <w:pPr>
        <w:tabs>
          <w:tab w:val="right" w:pos="426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338E">
        <w:rPr>
          <w:rFonts w:ascii="Times New Roman" w:eastAsia="Times New Roman" w:hAnsi="Times New Roman"/>
          <w:sz w:val="24"/>
          <w:szCs w:val="24"/>
          <w:lang w:eastAsia="hu-HU"/>
        </w:rPr>
        <w:t>Érd</w:t>
      </w:r>
      <w:r w:rsidR="00916597" w:rsidRPr="004D338E">
        <w:rPr>
          <w:rFonts w:ascii="Times New Roman" w:eastAsia="Times New Roman" w:hAnsi="Times New Roman"/>
          <w:sz w:val="24"/>
          <w:szCs w:val="24"/>
          <w:lang w:eastAsia="hu-HU"/>
        </w:rPr>
        <w:t xml:space="preserve"> HTP személyi állománya értesítéséhez és készenlétbe helyezéséhez szükséges 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tervek, névjegyzékek, a</w:t>
      </w:r>
      <w:r w:rsidR="00916597" w:rsidRPr="004D338E">
        <w:rPr>
          <w:rFonts w:ascii="Times New Roman" w:eastAsia="Times New Roman" w:hAnsi="Times New Roman"/>
          <w:sz w:val="24"/>
          <w:szCs w:val="24"/>
          <w:lang w:eastAsia="hu-HU"/>
        </w:rPr>
        <w:t>datlap</w:t>
      </w:r>
      <w:r w:rsidR="00D56027" w:rsidRPr="004D338E">
        <w:rPr>
          <w:rFonts w:ascii="Times New Roman" w:eastAsia="Times New Roman" w:hAnsi="Times New Roman"/>
          <w:sz w:val="24"/>
          <w:szCs w:val="24"/>
          <w:lang w:eastAsia="hu-HU"/>
        </w:rPr>
        <w:t xml:space="preserve">ok </w:t>
      </w:r>
      <w:r w:rsidR="00571291">
        <w:rPr>
          <w:rFonts w:ascii="Times New Roman" w:eastAsia="Times New Roman" w:hAnsi="Times New Roman"/>
          <w:sz w:val="24"/>
          <w:szCs w:val="24"/>
          <w:lang w:eastAsia="hu-HU"/>
        </w:rPr>
        <w:t>naprakészek</w:t>
      </w:r>
      <w:r w:rsidR="00916597" w:rsidRPr="004D33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5E34498" w14:textId="42C20121" w:rsidR="00916597" w:rsidRPr="009662F4" w:rsidRDefault="00916597" w:rsidP="00FE475F">
      <w:pPr>
        <w:pStyle w:val="Cmsor1"/>
        <w:spacing w:before="100" w:beforeAutospacing="1" w:after="100" w:afterAutospacing="1" w:line="240" w:lineRule="atLeast"/>
        <w:rPr>
          <w:b/>
        </w:rPr>
      </w:pPr>
      <w:bookmarkStart w:id="16" w:name="_Toc5110161"/>
      <w:bookmarkStart w:id="17" w:name="_Toc40190332"/>
      <w:bookmarkStart w:id="18" w:name="_Toc194919351"/>
      <w:r w:rsidRPr="007925AA">
        <w:rPr>
          <w:b/>
        </w:rPr>
        <w:t>Társszervekkel való együttműködés tapasztalatai, értékelése</w:t>
      </w:r>
      <w:bookmarkEnd w:id="16"/>
      <w:bookmarkEnd w:id="17"/>
      <w:bookmarkEnd w:id="18"/>
    </w:p>
    <w:p w14:paraId="1ACB3CEF" w14:textId="7BE86A14" w:rsidR="00916597" w:rsidRDefault="00916597" w:rsidP="00FE475F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Parancsnokságunk kiemelt figyelmet fordít a társ</w:t>
      </w:r>
      <w:r w:rsidR="00D560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, és együttműködő szervekkel, a helyi önkormányzatokkal, valamint a civil szervezetekkel való szoros együttműködésre. A készenléti állomány alapfeladatai ellátása közben a rendőrség és a men</w:t>
      </w:r>
      <w:r w:rsidR="00344A7B">
        <w:rPr>
          <w:rFonts w:ascii="Times New Roman" w:hAnsi="Times New Roman"/>
          <w:sz w:val="24"/>
          <w:szCs w:val="24"/>
        </w:rPr>
        <w:t>tő</w:t>
      </w:r>
      <w:r>
        <w:rPr>
          <w:rFonts w:ascii="Times New Roman" w:hAnsi="Times New Roman"/>
          <w:sz w:val="24"/>
          <w:szCs w:val="24"/>
        </w:rPr>
        <w:t xml:space="preserve">szolgálat munkatársaival </w:t>
      </w:r>
      <w:r w:rsidR="00D56027">
        <w:rPr>
          <w:rFonts w:ascii="Times New Roman" w:hAnsi="Times New Roman"/>
          <w:sz w:val="24"/>
          <w:szCs w:val="24"/>
        </w:rPr>
        <w:t>szoros együttműködést alakított</w:t>
      </w:r>
      <w:r w:rsidRPr="006F57C7">
        <w:rPr>
          <w:rFonts w:ascii="Times New Roman" w:hAnsi="Times New Roman"/>
          <w:sz w:val="24"/>
          <w:szCs w:val="24"/>
        </w:rPr>
        <w:t xml:space="preserve"> ki, </w:t>
      </w:r>
      <w:r w:rsidR="00344A7B">
        <w:rPr>
          <w:rFonts w:ascii="Times New Roman" w:hAnsi="Times New Roman"/>
          <w:sz w:val="24"/>
          <w:szCs w:val="24"/>
        </w:rPr>
        <w:t>a</w:t>
      </w:r>
      <w:r w:rsidRPr="006F57C7">
        <w:rPr>
          <w:rFonts w:ascii="Times New Roman" w:hAnsi="Times New Roman"/>
          <w:sz w:val="24"/>
          <w:szCs w:val="24"/>
        </w:rPr>
        <w:t xml:space="preserve">melynek alapja a kölcsönös segítségnyújtás. A területünkön lévő társszervekkel történő együttműködés a vonatkozó </w:t>
      </w:r>
      <w:r w:rsidR="00344A7B">
        <w:rPr>
          <w:rFonts w:ascii="Times New Roman" w:hAnsi="Times New Roman"/>
          <w:sz w:val="24"/>
          <w:szCs w:val="24"/>
        </w:rPr>
        <w:t xml:space="preserve">jogszabályok és az </w:t>
      </w:r>
      <w:r w:rsidR="00D56027">
        <w:rPr>
          <w:rFonts w:ascii="Times New Roman" w:hAnsi="Times New Roman"/>
          <w:sz w:val="24"/>
          <w:szCs w:val="24"/>
        </w:rPr>
        <w:t>együttműködési megállapodás</w:t>
      </w:r>
      <w:r w:rsidR="00344A7B">
        <w:rPr>
          <w:rFonts w:ascii="Times New Roman" w:hAnsi="Times New Roman"/>
          <w:sz w:val="24"/>
          <w:szCs w:val="24"/>
        </w:rPr>
        <w:t>ok</w:t>
      </w:r>
      <w:r w:rsidRPr="007925AA">
        <w:rPr>
          <w:rFonts w:ascii="Times New Roman" w:hAnsi="Times New Roman"/>
          <w:sz w:val="24"/>
          <w:szCs w:val="24"/>
        </w:rPr>
        <w:t xml:space="preserve"> alapján valósult meg. A káresetek helyszínén </w:t>
      </w:r>
      <w:r>
        <w:rPr>
          <w:rFonts w:ascii="Times New Roman" w:hAnsi="Times New Roman"/>
          <w:sz w:val="24"/>
          <w:szCs w:val="24"/>
        </w:rPr>
        <w:t>végzett</w:t>
      </w:r>
      <w:r w:rsidRPr="007925AA">
        <w:rPr>
          <w:rFonts w:ascii="Times New Roman" w:hAnsi="Times New Roman"/>
          <w:sz w:val="24"/>
          <w:szCs w:val="24"/>
        </w:rPr>
        <w:t xml:space="preserve"> közös munka </w:t>
      </w:r>
      <w:r w:rsidR="00043918">
        <w:rPr>
          <w:rFonts w:ascii="Times New Roman" w:hAnsi="Times New Roman"/>
          <w:sz w:val="24"/>
          <w:szCs w:val="24"/>
        </w:rPr>
        <w:t>zökkenőmentés</w:t>
      </w:r>
      <w:r w:rsidRPr="007925AA">
        <w:rPr>
          <w:rFonts w:ascii="Times New Roman" w:hAnsi="Times New Roman"/>
          <w:sz w:val="24"/>
          <w:szCs w:val="24"/>
        </w:rPr>
        <w:t xml:space="preserve"> és konstruktív volt. </w:t>
      </w:r>
      <w:r>
        <w:rPr>
          <w:rFonts w:ascii="Times New Roman" w:hAnsi="Times New Roman"/>
          <w:sz w:val="24"/>
          <w:szCs w:val="24"/>
        </w:rPr>
        <w:t>A gyakorlatok végrehajt</w:t>
      </w:r>
      <w:r w:rsidR="00E4463A">
        <w:rPr>
          <w:rFonts w:ascii="Times New Roman" w:hAnsi="Times New Roman"/>
          <w:sz w:val="24"/>
          <w:szCs w:val="24"/>
        </w:rPr>
        <w:t>ásába</w:t>
      </w:r>
      <w:r w:rsidR="00EE23A6">
        <w:rPr>
          <w:rFonts w:ascii="Times New Roman" w:hAnsi="Times New Roman"/>
          <w:sz w:val="24"/>
          <w:szCs w:val="24"/>
        </w:rPr>
        <w:t xml:space="preserve"> a társszerveket bevontuk, vezetőikkel naprakész, </w:t>
      </w:r>
      <w:r w:rsidR="00571291">
        <w:rPr>
          <w:rFonts w:ascii="Times New Roman" w:hAnsi="Times New Roman"/>
          <w:sz w:val="24"/>
          <w:szCs w:val="24"/>
        </w:rPr>
        <w:t>szoros</w:t>
      </w:r>
      <w:r w:rsidR="00EE23A6">
        <w:rPr>
          <w:rFonts w:ascii="Times New Roman" w:hAnsi="Times New Roman"/>
          <w:sz w:val="24"/>
          <w:szCs w:val="24"/>
        </w:rPr>
        <w:t xml:space="preserve"> kapcsolatot alakítottunk ki.</w:t>
      </w:r>
      <w:r w:rsidR="00571291">
        <w:rPr>
          <w:rFonts w:ascii="Times New Roman" w:hAnsi="Times New Roman"/>
          <w:sz w:val="24"/>
          <w:szCs w:val="24"/>
        </w:rPr>
        <w:t xml:space="preserve"> A szakma-</w:t>
      </w:r>
      <w:r>
        <w:rPr>
          <w:rFonts w:ascii="Times New Roman" w:hAnsi="Times New Roman"/>
          <w:sz w:val="24"/>
          <w:szCs w:val="24"/>
        </w:rPr>
        <w:t>specifikus ismeretek okta</w:t>
      </w:r>
      <w:r w:rsidR="00571291">
        <w:rPr>
          <w:rFonts w:ascii="Times New Roman" w:hAnsi="Times New Roman"/>
          <w:sz w:val="24"/>
          <w:szCs w:val="24"/>
        </w:rPr>
        <w:t xml:space="preserve">tása </w:t>
      </w:r>
      <w:r w:rsidR="00EE23A6">
        <w:rPr>
          <w:rFonts w:ascii="Times New Roman" w:hAnsi="Times New Roman"/>
          <w:sz w:val="24"/>
          <w:szCs w:val="24"/>
        </w:rPr>
        <w:t>rendszeresen meg</w:t>
      </w:r>
      <w:r w:rsidR="00571291">
        <w:rPr>
          <w:rFonts w:ascii="Times New Roman" w:hAnsi="Times New Roman"/>
          <w:sz w:val="24"/>
          <w:szCs w:val="24"/>
        </w:rPr>
        <w:t>valósult.</w:t>
      </w:r>
    </w:p>
    <w:p w14:paraId="58DB53A8" w14:textId="77F2C3D6" w:rsidR="00344A7B" w:rsidRPr="007A7F6B" w:rsidRDefault="007A7F6B" w:rsidP="00344A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5ED6">
        <w:rPr>
          <w:rFonts w:ascii="Times New Roman" w:hAnsi="Times New Roman"/>
          <w:sz w:val="24"/>
          <w:szCs w:val="24"/>
        </w:rPr>
        <w:t>A településekkel szoros együttműködésre törekedtünk a mentő tűzvédelem haté</w:t>
      </w:r>
      <w:r>
        <w:rPr>
          <w:rFonts w:ascii="Times New Roman" w:hAnsi="Times New Roman"/>
          <w:sz w:val="24"/>
          <w:szCs w:val="24"/>
        </w:rPr>
        <w:t xml:space="preserve">konyságának növelése érdekében. </w:t>
      </w:r>
      <w:r w:rsidR="00344A7B" w:rsidRPr="00344A7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Az önkormányzatokkal történő közvetlen kapc</w:t>
      </w:r>
      <w:r w:rsidR="00D3115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solattartás kiemelt fontosságú </w:t>
      </w:r>
      <w:r w:rsidR="00D31159" w:rsidRPr="00075ED6">
        <w:rPr>
          <w:rFonts w:ascii="Times New Roman" w:hAnsi="Times New Roman"/>
          <w:sz w:val="24"/>
          <w:szCs w:val="24"/>
        </w:rPr>
        <w:t>a területhez tartoz</w:t>
      </w:r>
      <w:r>
        <w:rPr>
          <w:rFonts w:ascii="Times New Roman" w:hAnsi="Times New Roman"/>
          <w:sz w:val="24"/>
          <w:szCs w:val="24"/>
        </w:rPr>
        <w:t>ó valamennyi településen és</w:t>
      </w:r>
      <w:r w:rsidR="00D31159" w:rsidRPr="00075ED6">
        <w:rPr>
          <w:rFonts w:ascii="Times New Roman" w:hAnsi="Times New Roman"/>
          <w:sz w:val="24"/>
          <w:szCs w:val="24"/>
        </w:rPr>
        <w:t xml:space="preserve"> a közbiztonsági referenseken keresztül folyamatos.</w:t>
      </w:r>
      <w:r w:rsidR="00D3115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344A7B" w:rsidRPr="00344A7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A polgármesterekkel történő hatékony együttműködés és az információáramlás javítja a reagáló képességünket. Egymás feladatainak kölcsönös segítése a lakosság biz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tonságának erősítése érdekében eredményesen </w:t>
      </w:r>
      <w:r w:rsidR="00344A7B" w:rsidRPr="00344A7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megvalósult. </w:t>
      </w:r>
    </w:p>
    <w:p w14:paraId="3750561A" w14:textId="30D332C9" w:rsidR="00D31159" w:rsidRPr="00075ED6" w:rsidRDefault="00916597" w:rsidP="007A7F6B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_Toc5110162"/>
      <w:bookmarkStart w:id="20" w:name="_Toc40190333"/>
      <w:r w:rsidRPr="00C01F5D">
        <w:rPr>
          <w:rFonts w:ascii="Times New Roman" w:hAnsi="Times New Roman"/>
          <w:sz w:val="24"/>
          <w:szCs w:val="24"/>
        </w:rPr>
        <w:t>A</w:t>
      </w:r>
      <w:r w:rsidR="00571291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ülső </w:t>
      </w:r>
      <w:r w:rsidR="0057129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édelmi </w:t>
      </w:r>
      <w:r w:rsidR="0057129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erv </w:t>
      </w:r>
      <w:r w:rsidRPr="00524A0D">
        <w:rPr>
          <w:rFonts w:ascii="Times New Roman" w:hAnsi="Times New Roman"/>
          <w:sz w:val="24"/>
          <w:szCs w:val="24"/>
        </w:rPr>
        <w:t xml:space="preserve">gyakorlatokban is folyamatos </w:t>
      </w:r>
      <w:r w:rsidR="00D31159">
        <w:rPr>
          <w:rFonts w:ascii="Times New Roman" w:hAnsi="Times New Roman"/>
          <w:sz w:val="24"/>
          <w:szCs w:val="24"/>
        </w:rPr>
        <w:t xml:space="preserve">volt </w:t>
      </w:r>
      <w:r>
        <w:rPr>
          <w:rFonts w:ascii="Times New Roman" w:hAnsi="Times New Roman"/>
          <w:sz w:val="24"/>
          <w:szCs w:val="24"/>
        </w:rPr>
        <w:t>a közös munka.</w:t>
      </w:r>
      <w:r w:rsidRPr="00524A0D">
        <w:rPr>
          <w:rFonts w:ascii="Times New Roman" w:hAnsi="Times New Roman"/>
          <w:sz w:val="24"/>
          <w:szCs w:val="24"/>
        </w:rPr>
        <w:t xml:space="preserve"> A települési rendezvények során szoros együttműködés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7C7">
        <w:rPr>
          <w:rFonts w:ascii="Times New Roman" w:hAnsi="Times New Roman"/>
          <w:sz w:val="24"/>
          <w:szCs w:val="24"/>
        </w:rPr>
        <w:t>valósult</w:t>
      </w:r>
      <w:r>
        <w:rPr>
          <w:rFonts w:ascii="Times New Roman" w:hAnsi="Times New Roman"/>
          <w:sz w:val="24"/>
          <w:szCs w:val="24"/>
        </w:rPr>
        <w:t xml:space="preserve"> meg</w:t>
      </w:r>
      <w:r w:rsidRPr="00524A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helyi védelmi bizottságok vezetőivel a </w:t>
      </w:r>
      <w:r w:rsidR="00344A7B">
        <w:rPr>
          <w:rFonts w:ascii="Times New Roman" w:hAnsi="Times New Roman"/>
          <w:sz w:val="24"/>
          <w:szCs w:val="24"/>
        </w:rPr>
        <w:t>rendszeres</w:t>
      </w:r>
      <w:r>
        <w:rPr>
          <w:rFonts w:ascii="Times New Roman" w:hAnsi="Times New Roman"/>
          <w:sz w:val="24"/>
          <w:szCs w:val="24"/>
        </w:rPr>
        <w:t xml:space="preserve"> kapcsolattartás és szakma</w:t>
      </w:r>
      <w:r w:rsidR="00FE475F">
        <w:rPr>
          <w:rFonts w:ascii="Times New Roman" w:hAnsi="Times New Roman"/>
          <w:sz w:val="24"/>
          <w:szCs w:val="24"/>
        </w:rPr>
        <w:t>i segítségnyújtás érvényesült.</w:t>
      </w:r>
      <w:r w:rsidR="007A7F6B">
        <w:rPr>
          <w:rFonts w:ascii="Times New Roman" w:hAnsi="Times New Roman"/>
          <w:sz w:val="24"/>
          <w:szCs w:val="24"/>
        </w:rPr>
        <w:t xml:space="preserve"> </w:t>
      </w:r>
    </w:p>
    <w:p w14:paraId="161178B4" w14:textId="34363D51" w:rsidR="00D31159" w:rsidRDefault="00D31159" w:rsidP="007A7F6B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5ED6">
        <w:rPr>
          <w:rFonts w:ascii="Times New Roman" w:hAnsi="Times New Roman"/>
          <w:sz w:val="24"/>
          <w:szCs w:val="24"/>
        </w:rPr>
        <w:t>A polgármesterek közvetlen elérésével az esetleges káresemények során felmerülő feladatokról és azok megoldási lehetőségeiről szükség szerint egyeztetünk. A megelőzéssel kapcsolatos anyagainkat az önkormányzatok a honlapjaikon folyamatosan megjelenítik, így a térség tűzvédelmének biztosításában aktív szerepet töltenek be.</w:t>
      </w:r>
    </w:p>
    <w:p w14:paraId="556D8A93" w14:textId="77777777" w:rsidR="00E93F08" w:rsidRPr="00CB788C" w:rsidRDefault="00E93F08" w:rsidP="00E93F08">
      <w:pPr>
        <w:pStyle w:val="Cmsor1"/>
        <w:spacing w:before="240" w:after="100" w:afterAutospacing="1" w:line="240" w:lineRule="atLeast"/>
        <w:rPr>
          <w:b/>
        </w:rPr>
      </w:pPr>
      <w:bookmarkStart w:id="21" w:name="_Toc40190328"/>
      <w:bookmarkStart w:id="22" w:name="_Toc535306595"/>
      <w:bookmarkStart w:id="23" w:name="_Toc194919352"/>
      <w:r w:rsidRPr="007925AA">
        <w:rPr>
          <w:b/>
        </w:rPr>
        <w:t>Az állomány képzése, képzettsége</w:t>
      </w:r>
      <w:bookmarkEnd w:id="21"/>
      <w:bookmarkEnd w:id="23"/>
    </w:p>
    <w:p w14:paraId="4D4C2690" w14:textId="77777777" w:rsidR="00571291" w:rsidRDefault="00791F16" w:rsidP="00791F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Érd</w:t>
      </w:r>
      <w:r w:rsidRPr="007925AA">
        <w:rPr>
          <w:rFonts w:ascii="Times New Roman" w:hAnsi="Times New Roman"/>
          <w:sz w:val="24"/>
          <w:szCs w:val="24"/>
        </w:rPr>
        <w:t xml:space="preserve"> HTP állománya, a szolgálati csoportok vezetői és tagjai az előírt képzettségekkel rendelkeznek. A képesítésük, képzett</w:t>
      </w:r>
      <w:r>
        <w:rPr>
          <w:rFonts w:ascii="Times New Roman" w:hAnsi="Times New Roman"/>
          <w:sz w:val="24"/>
          <w:szCs w:val="24"/>
        </w:rPr>
        <w:t xml:space="preserve">ségük szerint különböző szinten </w:t>
      </w:r>
      <w:r w:rsidRPr="007925AA">
        <w:rPr>
          <w:rFonts w:ascii="Times New Roman" w:hAnsi="Times New Roman"/>
          <w:sz w:val="24"/>
          <w:szCs w:val="24"/>
        </w:rPr>
        <w:t>tartó, illetve szakmai ismereteiket kiszélesítő képzéseken vettek részt.</w:t>
      </w:r>
      <w:r w:rsidRPr="00B30536">
        <w:rPr>
          <w:rFonts w:ascii="Times New Roman" w:hAnsi="Times New Roman"/>
          <w:sz w:val="24"/>
          <w:szCs w:val="24"/>
        </w:rPr>
        <w:t xml:space="preserve"> </w:t>
      </w:r>
      <w:r w:rsidRPr="007925AA">
        <w:rPr>
          <w:rFonts w:ascii="Times New Roman" w:hAnsi="Times New Roman"/>
          <w:sz w:val="24"/>
          <w:szCs w:val="24"/>
        </w:rPr>
        <w:t xml:space="preserve">A gépjárművezetőinket folyamatosan képezzük az előírt vezetéstechnikai tréningeken. </w:t>
      </w:r>
      <w:r>
        <w:rPr>
          <w:rFonts w:ascii="Times New Roman" w:hAnsi="Times New Roman"/>
          <w:bCs/>
          <w:sz w:val="24"/>
          <w:szCs w:val="24"/>
        </w:rPr>
        <w:t>Parancsnokságunkon készenlétben tartott szerekre és felszerelésekre az állomány az előírt képesítésekkel rendelkezik.</w:t>
      </w:r>
      <w:r w:rsidRPr="00B30536">
        <w:rPr>
          <w:rFonts w:ascii="Times New Roman" w:hAnsi="Times New Roman"/>
          <w:sz w:val="24"/>
          <w:szCs w:val="24"/>
        </w:rPr>
        <w:t xml:space="preserve"> </w:t>
      </w:r>
      <w:r w:rsidRPr="007925AA">
        <w:rPr>
          <w:rFonts w:ascii="Times New Roman" w:hAnsi="Times New Roman"/>
          <w:sz w:val="24"/>
          <w:szCs w:val="24"/>
        </w:rPr>
        <w:t xml:space="preserve">Az elméleti képzés anyagának ismertetésénél nagy hangsúlyt fektettünk a képzési dokumentumok használatán túl, egyes ismeretanyagok oktatásba való beillesztésére, illetve </w:t>
      </w:r>
      <w:r w:rsidRPr="004D1C53">
        <w:rPr>
          <w:rFonts w:ascii="Times New Roman" w:hAnsi="Times New Roman"/>
          <w:sz w:val="24"/>
          <w:szCs w:val="24"/>
        </w:rPr>
        <w:t>azok interaktív módon történő feldolgozására.</w:t>
      </w:r>
      <w:r w:rsidRPr="00166D5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7B3D2BA" w14:textId="742D959B" w:rsidR="00791F16" w:rsidRDefault="00571291" w:rsidP="00791F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791F16">
        <w:rPr>
          <w:rFonts w:ascii="Times New Roman" w:hAnsi="Times New Roman"/>
          <w:sz w:val="24"/>
          <w:szCs w:val="24"/>
        </w:rPr>
        <w:t xml:space="preserve">iemelt feladat </w:t>
      </w:r>
      <w:r>
        <w:rPr>
          <w:rFonts w:ascii="Times New Roman" w:hAnsi="Times New Roman"/>
          <w:sz w:val="24"/>
          <w:szCs w:val="24"/>
        </w:rPr>
        <w:t xml:space="preserve">a </w:t>
      </w:r>
      <w:r w:rsidR="00791F16">
        <w:rPr>
          <w:rFonts w:ascii="Times New Roman" w:hAnsi="Times New Roman"/>
          <w:sz w:val="24"/>
          <w:szCs w:val="24"/>
        </w:rPr>
        <w:t xml:space="preserve">gépjárművezetők és </w:t>
      </w:r>
      <w:r>
        <w:rPr>
          <w:rFonts w:ascii="Times New Roman" w:hAnsi="Times New Roman"/>
          <w:sz w:val="24"/>
          <w:szCs w:val="24"/>
        </w:rPr>
        <w:t xml:space="preserve">a </w:t>
      </w:r>
      <w:r w:rsidR="00791F16">
        <w:rPr>
          <w:rFonts w:ascii="Times New Roman" w:hAnsi="Times New Roman"/>
          <w:sz w:val="24"/>
          <w:szCs w:val="24"/>
        </w:rPr>
        <w:t xml:space="preserve">különlegesszer kezelők kiképzése. Több </w:t>
      </w:r>
      <w:r w:rsidR="00043918">
        <w:rPr>
          <w:rFonts w:ascii="Times New Roman" w:hAnsi="Times New Roman"/>
          <w:sz w:val="24"/>
          <w:szCs w:val="24"/>
        </w:rPr>
        <w:t>tanfolyamon és képzésen vettek részt az állomány tagjai (</w:t>
      </w:r>
      <w:r w:rsidR="00791F16">
        <w:rPr>
          <w:rFonts w:ascii="Times New Roman" w:hAnsi="Times New Roman"/>
          <w:sz w:val="24"/>
          <w:szCs w:val="24"/>
        </w:rPr>
        <w:t>sziva</w:t>
      </w:r>
      <w:r w:rsidR="00043918">
        <w:rPr>
          <w:rFonts w:ascii="Times New Roman" w:hAnsi="Times New Roman"/>
          <w:sz w:val="24"/>
          <w:szCs w:val="24"/>
        </w:rPr>
        <w:t xml:space="preserve">ttyú, </w:t>
      </w:r>
      <w:r w:rsidR="00791F16">
        <w:rPr>
          <w:rFonts w:ascii="Times New Roman" w:hAnsi="Times New Roman"/>
          <w:sz w:val="24"/>
          <w:szCs w:val="24"/>
        </w:rPr>
        <w:t>tűzoltó-technika</w:t>
      </w:r>
      <w:r w:rsidR="00043918">
        <w:rPr>
          <w:rFonts w:ascii="Times New Roman" w:hAnsi="Times New Roman"/>
          <w:sz w:val="24"/>
          <w:szCs w:val="24"/>
        </w:rPr>
        <w:t xml:space="preserve">, létrakezelői, kompresszor, KML, </w:t>
      </w:r>
      <w:r w:rsidR="00043918" w:rsidRPr="00010346">
        <w:rPr>
          <w:rFonts w:ascii="Times New Roman" w:hAnsi="Times New Roman"/>
          <w:sz w:val="24"/>
          <w:szCs w:val="24"/>
          <w:shd w:val="clear" w:color="auto" w:fill="FFFFFF" w:themeFill="background1"/>
        </w:rPr>
        <w:t>bővített fokozatú sugárvédelmi képzés</w:t>
      </w:r>
      <w:r w:rsidR="00043918">
        <w:rPr>
          <w:rFonts w:ascii="Times New Roman" w:hAnsi="Times New Roman"/>
          <w:sz w:val="24"/>
          <w:szCs w:val="24"/>
        </w:rPr>
        <w:t xml:space="preserve">). </w:t>
      </w:r>
    </w:p>
    <w:p w14:paraId="0B111E73" w14:textId="77777777" w:rsidR="00E93F08" w:rsidRPr="007925AA" w:rsidRDefault="00E93F08" w:rsidP="00E93F0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2A99">
        <w:rPr>
          <w:rFonts w:ascii="Times New Roman" w:hAnsi="Times New Roman"/>
          <w:sz w:val="24"/>
          <w:szCs w:val="24"/>
        </w:rPr>
        <w:t>Az időszakos orvosi, pszichológiai vizsgálatokon az állomány minden tagja alkalmasnak bizonyult. Az elméleti, gyakorlati és fizikai szintfelmérőket végrehajtottuk.</w:t>
      </w:r>
    </w:p>
    <w:p w14:paraId="2AC9E211" w14:textId="5DFBED03" w:rsidR="00E93F08" w:rsidRPr="00797D20" w:rsidRDefault="00043918" w:rsidP="00E93F0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Gyakorlatok</w:t>
      </w:r>
    </w:p>
    <w:p w14:paraId="1DF27A2C" w14:textId="77777777" w:rsidR="00E93F08" w:rsidRDefault="00E93F08" w:rsidP="00E93F0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6808">
        <w:rPr>
          <w:rFonts w:ascii="Times New Roman" w:hAnsi="Times New Roman"/>
          <w:sz w:val="24"/>
          <w:szCs w:val="24"/>
        </w:rPr>
        <w:t xml:space="preserve">Az Érd HTP és a Törökbálinti </w:t>
      </w:r>
      <w:proofErr w:type="spellStart"/>
      <w:r w:rsidRPr="007F6808">
        <w:rPr>
          <w:rFonts w:ascii="Times New Roman" w:hAnsi="Times New Roman"/>
          <w:sz w:val="24"/>
          <w:szCs w:val="24"/>
        </w:rPr>
        <w:t>KvŐ</w:t>
      </w:r>
      <w:proofErr w:type="spellEnd"/>
      <w:r w:rsidRPr="007F6808">
        <w:rPr>
          <w:rFonts w:ascii="Times New Roman" w:hAnsi="Times New Roman"/>
          <w:sz w:val="24"/>
          <w:szCs w:val="24"/>
        </w:rPr>
        <w:t xml:space="preserve"> állománya 21 helyszínen 59 helyismereti foglalkozást, 6 ellenőrző gyakorlatot hajtott végre, valamint 12 szituációs begyakorló gyakorlat került megtartásra</w:t>
      </w:r>
      <w:r w:rsidRPr="00A351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Több helyszíni gyakorlatot tartottunk favágás, roncsvágás és kishajó vezetői, illetve speciális kötél gyakorlatot a Pest Vármegyei </w:t>
      </w:r>
      <w:proofErr w:type="spellStart"/>
      <w:r>
        <w:rPr>
          <w:rFonts w:ascii="Times New Roman" w:hAnsi="Times New Roman"/>
          <w:sz w:val="24"/>
          <w:szCs w:val="24"/>
        </w:rPr>
        <w:t>Kutató-Mentő</w:t>
      </w:r>
      <w:proofErr w:type="spellEnd"/>
      <w:r>
        <w:rPr>
          <w:rFonts w:ascii="Times New Roman" w:hAnsi="Times New Roman"/>
          <w:sz w:val="24"/>
          <w:szCs w:val="24"/>
        </w:rPr>
        <w:t xml:space="preserve"> Szolgálattal.</w:t>
      </w:r>
    </w:p>
    <w:p w14:paraId="7A45B536" w14:textId="2437A7D7" w:rsidR="00E93F08" w:rsidRDefault="00E93F08" w:rsidP="00E93F0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helyszínek kiválasztásánál kiemelt figyelmet fordítottunk a működési területünkön található ip</w:t>
      </w:r>
      <w:r w:rsidR="00043918">
        <w:rPr>
          <w:rFonts w:ascii="Times New Roman" w:hAnsi="Times New Roman"/>
          <w:sz w:val="24"/>
          <w:szCs w:val="24"/>
        </w:rPr>
        <w:t xml:space="preserve">ari létesítményekre </w:t>
      </w:r>
      <w:r>
        <w:rPr>
          <w:rFonts w:ascii="Times New Roman" w:hAnsi="Times New Roman"/>
          <w:sz w:val="24"/>
          <w:szCs w:val="24"/>
        </w:rPr>
        <w:t xml:space="preserve">és </w:t>
      </w:r>
      <w:r w:rsidR="00043918">
        <w:rPr>
          <w:rFonts w:ascii="Times New Roman" w:hAnsi="Times New Roman"/>
          <w:sz w:val="24"/>
          <w:szCs w:val="24"/>
        </w:rPr>
        <w:t>a helyi sajátosságokra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774F">
        <w:rPr>
          <w:rFonts w:ascii="Times New Roman" w:eastAsia="Times New Roman" w:hAnsi="Times New Roman"/>
          <w:kern w:val="1"/>
          <w:sz w:val="24"/>
          <w:szCs w:val="24"/>
          <w:lang w:eastAsia="hu-HU"/>
        </w:rPr>
        <w:t xml:space="preserve">A gyakorlatok végrehajtásának értékelése megfelelő, illetve jó minősítésű volt. A HTP állománya a megtartott helyismereti- és begyakorló gyakorlatok során nagymértékben fejlesztette tudását és képességeit. </w:t>
      </w:r>
      <w:r w:rsidR="00043918">
        <w:rPr>
          <w:rFonts w:ascii="Times New Roman" w:hAnsi="Times New Roman"/>
          <w:sz w:val="24"/>
          <w:szCs w:val="24"/>
        </w:rPr>
        <w:t>Az</w:t>
      </w:r>
      <w:r w:rsidR="003C0709">
        <w:rPr>
          <w:rFonts w:ascii="Times New Roman" w:hAnsi="Times New Roman"/>
          <w:sz w:val="24"/>
          <w:szCs w:val="24"/>
        </w:rPr>
        <w:t xml:space="preserve"> elsősegély</w:t>
      </w:r>
      <w:r w:rsidR="00183508">
        <w:rPr>
          <w:rFonts w:ascii="Times New Roman" w:hAnsi="Times New Roman"/>
          <w:sz w:val="24"/>
          <w:szCs w:val="24"/>
        </w:rPr>
        <w:t>-</w:t>
      </w:r>
      <w:r w:rsidRPr="007925AA">
        <w:rPr>
          <w:rFonts w:ascii="Times New Roman" w:hAnsi="Times New Roman"/>
          <w:sz w:val="24"/>
          <w:szCs w:val="24"/>
        </w:rPr>
        <w:t xml:space="preserve">nyújtási </w:t>
      </w:r>
      <w:r w:rsidR="00043918">
        <w:rPr>
          <w:rFonts w:ascii="Times New Roman" w:hAnsi="Times New Roman"/>
          <w:sz w:val="24"/>
          <w:szCs w:val="24"/>
        </w:rPr>
        <w:t>képzéseket a tárgyévben is folytattuk</w:t>
      </w:r>
      <w:r>
        <w:rPr>
          <w:rFonts w:ascii="Times New Roman" w:hAnsi="Times New Roman"/>
          <w:sz w:val="24"/>
          <w:szCs w:val="24"/>
        </w:rPr>
        <w:t>.</w:t>
      </w:r>
      <w:r w:rsidRPr="007A229A">
        <w:rPr>
          <w:rFonts w:ascii="Times New Roman" w:hAnsi="Times New Roman"/>
          <w:sz w:val="24"/>
          <w:szCs w:val="24"/>
        </w:rPr>
        <w:t xml:space="preserve"> </w:t>
      </w:r>
      <w:r w:rsidR="003C0709">
        <w:rPr>
          <w:rFonts w:ascii="Times New Roman" w:hAnsi="Times New Roman"/>
          <w:sz w:val="24"/>
          <w:szCs w:val="24"/>
        </w:rPr>
        <w:t>A</w:t>
      </w:r>
      <w:r w:rsidR="00565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foglalkozásokon</w:t>
      </w:r>
      <w:r w:rsidRPr="007925AA">
        <w:rPr>
          <w:rFonts w:ascii="Times New Roman" w:hAnsi="Times New Roman"/>
          <w:sz w:val="24"/>
          <w:szCs w:val="24"/>
        </w:rPr>
        <w:t xml:space="preserve"> felelevenítésre kerül</w:t>
      </w:r>
      <w:r>
        <w:rPr>
          <w:rFonts w:ascii="Times New Roman" w:hAnsi="Times New Roman"/>
          <w:sz w:val="24"/>
          <w:szCs w:val="24"/>
        </w:rPr>
        <w:t>tek a különböző mentési és újra</w:t>
      </w:r>
      <w:r w:rsidRPr="007925AA">
        <w:rPr>
          <w:rFonts w:ascii="Times New Roman" w:hAnsi="Times New Roman"/>
          <w:sz w:val="24"/>
          <w:szCs w:val="24"/>
        </w:rPr>
        <w:t>élesztési szabályok, technikák. KRESZ oktatásoka</w:t>
      </w:r>
      <w:r>
        <w:rPr>
          <w:rFonts w:ascii="Times New Roman" w:hAnsi="Times New Roman"/>
          <w:sz w:val="24"/>
          <w:szCs w:val="24"/>
        </w:rPr>
        <w:t xml:space="preserve">t szerveztünk, </w:t>
      </w:r>
      <w:r w:rsidR="000439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melyhez a helyi rendőrkapitányság és </w:t>
      </w:r>
      <w:r w:rsidR="00043918">
        <w:rPr>
          <w:rFonts w:ascii="Times New Roman" w:hAnsi="Times New Roman"/>
          <w:sz w:val="24"/>
          <w:szCs w:val="24"/>
        </w:rPr>
        <w:t xml:space="preserve">külsős </w:t>
      </w:r>
      <w:r>
        <w:rPr>
          <w:rFonts w:ascii="Times New Roman" w:hAnsi="Times New Roman"/>
          <w:sz w:val="24"/>
          <w:szCs w:val="24"/>
        </w:rPr>
        <w:t xml:space="preserve">cég által nyújtott számítógépes vezetéstechnikai tréning nyújtott nagyfokú szakmai segítséget. </w:t>
      </w:r>
    </w:p>
    <w:p w14:paraId="55928CCB" w14:textId="1077545A" w:rsidR="00E93F08" w:rsidRPr="007E774F" w:rsidRDefault="00E93F08" w:rsidP="00E93F08">
      <w:pPr>
        <w:pStyle w:val="Lista2"/>
        <w:ind w:left="0" w:firstLine="0"/>
        <w:jc w:val="both"/>
      </w:pPr>
      <w:r w:rsidRPr="007E774F">
        <w:t xml:space="preserve">Az év során </w:t>
      </w:r>
      <w:r>
        <w:t>6</w:t>
      </w:r>
      <w:r w:rsidRPr="007E774F">
        <w:t xml:space="preserve"> alkalommal parancsnoki ellenőrző gyakorlat</w:t>
      </w:r>
      <w:r w:rsidR="00043918">
        <w:t>ot hajtottunk végre</w:t>
      </w:r>
      <w:r w:rsidRPr="007E774F">
        <w:t>. A</w:t>
      </w:r>
      <w:r w:rsidR="00043918">
        <w:t xml:space="preserve"> </w:t>
      </w:r>
      <w:r w:rsidRPr="007E774F">
        <w:t xml:space="preserve">készenléti szolgálat </w:t>
      </w:r>
      <w:r w:rsidR="00043918">
        <w:t xml:space="preserve">a </w:t>
      </w:r>
      <w:r w:rsidRPr="007E774F">
        <w:t>felkészültség</w:t>
      </w:r>
      <w:r w:rsidR="00043918">
        <w:t xml:space="preserve">ét bizonyította és </w:t>
      </w:r>
      <w:r w:rsidRPr="007E774F">
        <w:t>minden esetben megfelelő értékelést kapott.</w:t>
      </w:r>
    </w:p>
    <w:p w14:paraId="7D42A635" w14:textId="652FFEA0" w:rsidR="00E93F08" w:rsidRPr="00CD70B6" w:rsidRDefault="00E93F08" w:rsidP="00E93F08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CD70B6">
        <w:rPr>
          <w:rFonts w:ascii="Times New Roman" w:hAnsi="Times New Roman"/>
          <w:sz w:val="24"/>
          <w:szCs w:val="24"/>
        </w:rPr>
        <w:t xml:space="preserve">Az egyesületek </w:t>
      </w:r>
      <w:r w:rsidR="00043918">
        <w:rPr>
          <w:rFonts w:ascii="Times New Roman" w:hAnsi="Times New Roman"/>
          <w:sz w:val="24"/>
          <w:szCs w:val="24"/>
        </w:rPr>
        <w:t xml:space="preserve">különböző szintű gyakorlatokba a </w:t>
      </w:r>
      <w:r w:rsidRPr="00CD70B6">
        <w:rPr>
          <w:rFonts w:ascii="Times New Roman" w:hAnsi="Times New Roman"/>
          <w:sz w:val="24"/>
          <w:szCs w:val="24"/>
        </w:rPr>
        <w:t>képesség</w:t>
      </w:r>
      <w:r w:rsidR="00043918">
        <w:rPr>
          <w:rFonts w:ascii="Times New Roman" w:hAnsi="Times New Roman"/>
          <w:sz w:val="24"/>
          <w:szCs w:val="24"/>
        </w:rPr>
        <w:t>ük</w:t>
      </w:r>
      <w:r w:rsidRPr="00CD70B6">
        <w:rPr>
          <w:rFonts w:ascii="Times New Roman" w:hAnsi="Times New Roman"/>
          <w:sz w:val="24"/>
          <w:szCs w:val="24"/>
        </w:rPr>
        <w:t xml:space="preserve"> szerint történő aktív bevonására </w:t>
      </w:r>
      <w:r w:rsidR="00043918">
        <w:rPr>
          <w:rFonts w:ascii="Times New Roman" w:hAnsi="Times New Roman"/>
          <w:sz w:val="24"/>
          <w:szCs w:val="24"/>
        </w:rPr>
        <w:t xml:space="preserve">és a </w:t>
      </w:r>
      <w:r w:rsidR="00043918" w:rsidRPr="00CD70B6">
        <w:rPr>
          <w:rFonts w:ascii="Times New Roman" w:hAnsi="Times New Roman"/>
          <w:sz w:val="24"/>
          <w:szCs w:val="24"/>
        </w:rPr>
        <w:t>mentő tűzvédelmi képességeik fejlesztésére a képzések alkalm</w:t>
      </w:r>
      <w:r w:rsidR="00043918">
        <w:rPr>
          <w:rFonts w:ascii="Times New Roman" w:hAnsi="Times New Roman"/>
          <w:sz w:val="24"/>
          <w:szCs w:val="24"/>
        </w:rPr>
        <w:t xml:space="preserve">ával </w:t>
      </w:r>
      <w:r>
        <w:rPr>
          <w:rFonts w:ascii="Times New Roman" w:hAnsi="Times New Roman"/>
          <w:sz w:val="24"/>
          <w:szCs w:val="24"/>
        </w:rPr>
        <w:t>folyamatosan töreked</w:t>
      </w:r>
      <w:r w:rsidRPr="00CD70B6">
        <w:rPr>
          <w:rFonts w:ascii="Times New Roman" w:hAnsi="Times New Roman"/>
          <w:sz w:val="24"/>
          <w:szCs w:val="24"/>
        </w:rPr>
        <w:t xml:space="preserve">ünk. </w:t>
      </w:r>
    </w:p>
    <w:p w14:paraId="00EF350C" w14:textId="7B8AAE7C" w:rsidR="00E93F08" w:rsidRDefault="004323F1" w:rsidP="00E93F08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93F08" w:rsidRPr="007925AA">
        <w:rPr>
          <w:rFonts w:ascii="Times New Roman" w:hAnsi="Times New Roman"/>
          <w:sz w:val="24"/>
          <w:szCs w:val="24"/>
        </w:rPr>
        <w:t>agyobb hangsúlyt fektettünk az é</w:t>
      </w:r>
      <w:r>
        <w:rPr>
          <w:rFonts w:ascii="Times New Roman" w:hAnsi="Times New Roman"/>
          <w:sz w:val="24"/>
          <w:szCs w:val="24"/>
        </w:rPr>
        <w:t xml:space="preserve">letszerű gyakorlatok tartására és </w:t>
      </w:r>
      <w:r w:rsidR="00E93F08" w:rsidRPr="007925AA">
        <w:rPr>
          <w:rFonts w:ascii="Times New Roman" w:hAnsi="Times New Roman"/>
          <w:sz w:val="24"/>
          <w:szCs w:val="24"/>
        </w:rPr>
        <w:t>sz</w:t>
      </w:r>
      <w:r w:rsidR="00E93F08">
        <w:rPr>
          <w:rFonts w:ascii="Times New Roman" w:hAnsi="Times New Roman"/>
          <w:sz w:val="24"/>
          <w:szCs w:val="24"/>
        </w:rPr>
        <w:t>emléltető e</w:t>
      </w:r>
      <w:r>
        <w:rPr>
          <w:rFonts w:ascii="Times New Roman" w:hAnsi="Times New Roman"/>
          <w:sz w:val="24"/>
          <w:szCs w:val="24"/>
        </w:rPr>
        <w:t xml:space="preserve">szközöket alkalmaztunk, valóság </w:t>
      </w:r>
      <w:r w:rsidR="00E93F08">
        <w:rPr>
          <w:rFonts w:ascii="Times New Roman" w:hAnsi="Times New Roman"/>
          <w:sz w:val="24"/>
          <w:szCs w:val="24"/>
        </w:rPr>
        <w:t>közeli szituációkat teremtettünk az újabb taktikai</w:t>
      </w:r>
      <w:r w:rsidR="00666792">
        <w:rPr>
          <w:rFonts w:ascii="Times New Roman" w:hAnsi="Times New Roman"/>
          <w:sz w:val="24"/>
          <w:szCs w:val="24"/>
        </w:rPr>
        <w:t>,</w:t>
      </w:r>
      <w:r w:rsidR="00E93F08">
        <w:rPr>
          <w:rFonts w:ascii="Times New Roman" w:hAnsi="Times New Roman"/>
          <w:sz w:val="24"/>
          <w:szCs w:val="24"/>
        </w:rPr>
        <w:t xml:space="preserve"> beavatkozási megoldások előmozdítására.</w:t>
      </w:r>
    </w:p>
    <w:p w14:paraId="76500367" w14:textId="6690DA1D" w:rsidR="008B7F9C" w:rsidRPr="00AE4DB2" w:rsidRDefault="00E93F08" w:rsidP="00E93F08">
      <w:pPr>
        <w:tabs>
          <w:tab w:val="left" w:pos="284"/>
        </w:tabs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E4DB2">
        <w:rPr>
          <w:rFonts w:ascii="Times New Roman" w:hAnsi="Times New Roman"/>
          <w:sz w:val="24"/>
          <w:szCs w:val="24"/>
        </w:rPr>
        <w:t xml:space="preserve">A továbbképzési rendszer </w:t>
      </w:r>
      <w:proofErr w:type="spellStart"/>
      <w:r w:rsidRPr="00AE4DB2">
        <w:rPr>
          <w:rFonts w:ascii="Times New Roman" w:hAnsi="Times New Roman"/>
          <w:sz w:val="24"/>
          <w:szCs w:val="24"/>
        </w:rPr>
        <w:t>e-learning</w:t>
      </w:r>
      <w:proofErr w:type="spellEnd"/>
      <w:r w:rsidRPr="00AE4DB2">
        <w:rPr>
          <w:rFonts w:ascii="Times New Roman" w:hAnsi="Times New Roman"/>
          <w:sz w:val="24"/>
          <w:szCs w:val="24"/>
        </w:rPr>
        <w:t xml:space="preserve"> tesztjeinek kitöltésére továbbra is fokozott figyelmet fordít</w:t>
      </w:r>
      <w:r w:rsidR="004323F1">
        <w:rPr>
          <w:rFonts w:ascii="Times New Roman" w:hAnsi="Times New Roman"/>
          <w:sz w:val="24"/>
          <w:szCs w:val="24"/>
        </w:rPr>
        <w:t>ott</w:t>
      </w:r>
      <w:r w:rsidRPr="00AE4DB2">
        <w:rPr>
          <w:rFonts w:ascii="Times New Roman" w:hAnsi="Times New Roman"/>
          <w:sz w:val="24"/>
          <w:szCs w:val="24"/>
        </w:rPr>
        <w:t>unk. A rendészeti továbbképzési rendszerben előírt képzéseket az állomány végrehajtotta.</w:t>
      </w:r>
    </w:p>
    <w:p w14:paraId="5FF9BB9A" w14:textId="61D57314" w:rsidR="00916597" w:rsidRPr="009662F4" w:rsidRDefault="00685E00" w:rsidP="00916597">
      <w:pPr>
        <w:pStyle w:val="Cmsor1"/>
        <w:spacing w:before="100" w:beforeAutospacing="1" w:after="100" w:afterAutospacing="1" w:line="240" w:lineRule="atLeast"/>
        <w:rPr>
          <w:b/>
        </w:rPr>
      </w:pPr>
      <w:bookmarkStart w:id="24" w:name="_Toc194919353"/>
      <w:bookmarkEnd w:id="22"/>
      <w:r>
        <w:rPr>
          <w:b/>
        </w:rPr>
        <w:t xml:space="preserve">A </w:t>
      </w:r>
      <w:r w:rsidR="00916597" w:rsidRPr="008F048C">
        <w:rPr>
          <w:b/>
        </w:rPr>
        <w:t>HTP működésének tárgyi feltételei</w:t>
      </w:r>
      <w:bookmarkEnd w:id="19"/>
      <w:bookmarkEnd w:id="20"/>
      <w:bookmarkEnd w:id="24"/>
    </w:p>
    <w:p w14:paraId="0A9EFB20" w14:textId="44A60A38" w:rsidR="00916597" w:rsidRPr="007925AA" w:rsidRDefault="001A6134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4323F1">
        <w:rPr>
          <w:rFonts w:ascii="Times New Roman" w:hAnsi="Times New Roman"/>
          <w:sz w:val="24"/>
          <w:szCs w:val="24"/>
        </w:rPr>
        <w:t xml:space="preserve">alapfeladatok ellátása során </w:t>
      </w:r>
      <w:r w:rsidR="003D62BB">
        <w:rPr>
          <w:rFonts w:ascii="Times New Roman" w:hAnsi="Times New Roman"/>
          <w:sz w:val="24"/>
          <w:szCs w:val="24"/>
        </w:rPr>
        <w:t>Érd</w:t>
      </w:r>
      <w:r w:rsidR="00916597" w:rsidRPr="007925AA">
        <w:rPr>
          <w:rFonts w:ascii="Times New Roman" w:hAnsi="Times New Roman"/>
          <w:sz w:val="24"/>
          <w:szCs w:val="24"/>
        </w:rPr>
        <w:t xml:space="preserve"> HTP rendelkezik mindazon szakfelszereléssel, illetve egyéni védőeszközzel, </w:t>
      </w:r>
      <w:r w:rsidR="004323F1">
        <w:rPr>
          <w:rFonts w:ascii="Times New Roman" w:hAnsi="Times New Roman"/>
          <w:sz w:val="24"/>
          <w:szCs w:val="24"/>
        </w:rPr>
        <w:t>a</w:t>
      </w:r>
      <w:r w:rsidR="00916597" w:rsidRPr="007925AA">
        <w:rPr>
          <w:rFonts w:ascii="Times New Roman" w:hAnsi="Times New Roman"/>
          <w:sz w:val="24"/>
          <w:szCs w:val="24"/>
        </w:rPr>
        <w:t xml:space="preserve">melyek szükségesek </w:t>
      </w:r>
      <w:r w:rsidR="004323F1">
        <w:rPr>
          <w:rFonts w:ascii="Times New Roman" w:hAnsi="Times New Roman"/>
          <w:sz w:val="24"/>
          <w:szCs w:val="24"/>
        </w:rPr>
        <w:t>a</w:t>
      </w:r>
      <w:r w:rsidR="00916597" w:rsidRPr="007925AA">
        <w:rPr>
          <w:rFonts w:ascii="Times New Roman" w:hAnsi="Times New Roman"/>
          <w:sz w:val="24"/>
          <w:szCs w:val="24"/>
        </w:rPr>
        <w:t xml:space="preserve"> </w:t>
      </w:r>
      <w:r w:rsidR="00916597" w:rsidRPr="006F57C7">
        <w:rPr>
          <w:rFonts w:ascii="Times New Roman" w:hAnsi="Times New Roman"/>
          <w:sz w:val="24"/>
          <w:szCs w:val="24"/>
        </w:rPr>
        <w:t>káresemény</w:t>
      </w:r>
      <w:r w:rsidR="004323F1">
        <w:rPr>
          <w:rFonts w:ascii="Times New Roman" w:hAnsi="Times New Roman"/>
          <w:sz w:val="24"/>
          <w:szCs w:val="24"/>
        </w:rPr>
        <w:t>ek</w:t>
      </w:r>
      <w:r w:rsidR="00916597" w:rsidRPr="006F57C7">
        <w:rPr>
          <w:rFonts w:ascii="Times New Roman" w:hAnsi="Times New Roman"/>
          <w:sz w:val="24"/>
          <w:szCs w:val="24"/>
        </w:rPr>
        <w:t xml:space="preserve"> gyors </w:t>
      </w:r>
      <w:r w:rsidR="00916597" w:rsidRPr="007925AA">
        <w:rPr>
          <w:rFonts w:ascii="Times New Roman" w:hAnsi="Times New Roman"/>
          <w:sz w:val="24"/>
          <w:szCs w:val="24"/>
        </w:rPr>
        <w:t xml:space="preserve">felszámolásához. </w:t>
      </w:r>
    </w:p>
    <w:p w14:paraId="1014AC4E" w14:textId="045B85BE" w:rsidR="00916597" w:rsidRDefault="00916597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03329B">
        <w:rPr>
          <w:rFonts w:ascii="Times New Roman" w:hAnsi="Times New Roman"/>
          <w:sz w:val="24"/>
          <w:szCs w:val="24"/>
        </w:rPr>
        <w:t>A motoros és elektromos kisgépek, hidraulikus feszítő-vágó berendezések, áramfejlesztők, gyorsdarabo</w:t>
      </w:r>
      <w:r w:rsidR="004323F1">
        <w:rPr>
          <w:rFonts w:ascii="Times New Roman" w:hAnsi="Times New Roman"/>
          <w:sz w:val="24"/>
          <w:szCs w:val="24"/>
        </w:rPr>
        <w:t>lók, roncsvágók, valamint emelő</w:t>
      </w:r>
      <w:r w:rsidRPr="0003329B">
        <w:rPr>
          <w:rFonts w:ascii="Times New Roman" w:hAnsi="Times New Roman"/>
          <w:sz w:val="24"/>
          <w:szCs w:val="24"/>
        </w:rPr>
        <w:t xml:space="preserve">párnák és a tűzoltó készülékek éves biztonságtechnikai felülvizsgálatai határidőre megtörténtek, a gépjárműfecskendők </w:t>
      </w:r>
      <w:r w:rsidR="007E3FBD">
        <w:rPr>
          <w:rFonts w:ascii="Times New Roman" w:hAnsi="Times New Roman"/>
          <w:sz w:val="24"/>
          <w:szCs w:val="24"/>
        </w:rPr>
        <w:t>karbantartásáról gondoskodtunk.</w:t>
      </w:r>
    </w:p>
    <w:p w14:paraId="68ACF2D3" w14:textId="28719CB5" w:rsidR="008D55E1" w:rsidRDefault="004C7BB5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</w:t>
      </w:r>
      <w:r w:rsidR="008D55E1">
        <w:rPr>
          <w:rFonts w:ascii="Times New Roman" w:hAnsi="Times New Roman"/>
          <w:sz w:val="24"/>
          <w:szCs w:val="24"/>
        </w:rPr>
        <w:t>aktanyák állagmegóvás</w:t>
      </w:r>
      <w:r>
        <w:rPr>
          <w:rFonts w:ascii="Times New Roman" w:hAnsi="Times New Roman"/>
          <w:sz w:val="24"/>
          <w:szCs w:val="24"/>
        </w:rPr>
        <w:t>ának</w:t>
      </w:r>
      <w:r w:rsidR="008D55E1">
        <w:rPr>
          <w:rFonts w:ascii="Times New Roman" w:hAnsi="Times New Roman"/>
          <w:sz w:val="24"/>
          <w:szCs w:val="24"/>
        </w:rPr>
        <w:t xml:space="preserve"> érdekében nyílászárók javítási, belső festési és szigetelési munkálatokat végeztünk.</w:t>
      </w:r>
    </w:p>
    <w:p w14:paraId="0C5AD10A" w14:textId="0BECD0D2" w:rsidR="004323F1" w:rsidRDefault="004323F1" w:rsidP="00FE475F">
      <w:pPr>
        <w:widowControl w:val="0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04E9C">
        <w:rPr>
          <w:rFonts w:ascii="Times New Roman" w:hAnsi="Times New Roman"/>
          <w:sz w:val="24"/>
          <w:szCs w:val="24"/>
        </w:rPr>
        <w:t>élunk a</w:t>
      </w:r>
      <w:r w:rsidR="007E3FBD">
        <w:rPr>
          <w:rFonts w:ascii="Times New Roman" w:hAnsi="Times New Roman"/>
          <w:sz w:val="24"/>
          <w:szCs w:val="24"/>
        </w:rPr>
        <w:t xml:space="preserve"> laktanyák</w:t>
      </w:r>
      <w:r w:rsidR="00004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energiahatékonyságának</w:t>
      </w:r>
      <w:r w:rsidR="007E3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növel</w:t>
      </w:r>
      <w:r w:rsidR="007E3FBD">
        <w:rPr>
          <w:rFonts w:ascii="Times New Roman" w:hAnsi="Times New Roman"/>
          <w:sz w:val="24"/>
          <w:szCs w:val="24"/>
        </w:rPr>
        <w:t>ése</w:t>
      </w:r>
      <w:r>
        <w:rPr>
          <w:rFonts w:ascii="Times New Roman" w:hAnsi="Times New Roman"/>
          <w:sz w:val="24"/>
          <w:szCs w:val="24"/>
        </w:rPr>
        <w:t xml:space="preserve">. A </w:t>
      </w:r>
      <w:r w:rsidR="007E3FBD">
        <w:rPr>
          <w:rFonts w:ascii="Times New Roman" w:hAnsi="Times New Roman"/>
          <w:sz w:val="24"/>
          <w:szCs w:val="24"/>
        </w:rPr>
        <w:t xml:space="preserve">napkollektorok </w:t>
      </w:r>
      <w:r w:rsidR="00FF014B">
        <w:rPr>
          <w:rFonts w:ascii="Times New Roman" w:hAnsi="Times New Roman"/>
          <w:sz w:val="24"/>
          <w:szCs w:val="24"/>
        </w:rPr>
        <w:t>felülvizsgálata, illetve a fűtési rendszer javítása, karbantartása</w:t>
      </w:r>
      <w:r>
        <w:rPr>
          <w:rFonts w:ascii="Times New Roman" w:hAnsi="Times New Roman"/>
          <w:sz w:val="24"/>
          <w:szCs w:val="24"/>
        </w:rPr>
        <w:t xml:space="preserve"> és a </w:t>
      </w:r>
      <w:r w:rsidR="00004E9C">
        <w:rPr>
          <w:rFonts w:ascii="Times New Roman" w:hAnsi="Times New Roman"/>
          <w:sz w:val="24"/>
          <w:szCs w:val="24"/>
        </w:rPr>
        <w:t xml:space="preserve">lámpák cseréje </w:t>
      </w:r>
      <w:r>
        <w:rPr>
          <w:rFonts w:ascii="Times New Roman" w:hAnsi="Times New Roman"/>
          <w:sz w:val="24"/>
          <w:szCs w:val="24"/>
        </w:rPr>
        <w:t>megvalósult</w:t>
      </w:r>
      <w:r w:rsidR="00004E9C">
        <w:rPr>
          <w:rFonts w:ascii="Times New Roman" w:hAnsi="Times New Roman"/>
          <w:sz w:val="24"/>
          <w:szCs w:val="24"/>
        </w:rPr>
        <w:t xml:space="preserve">. Több helyiségben új típusú légkondicionáló berendezéseket </w:t>
      </w:r>
      <w:r>
        <w:rPr>
          <w:rFonts w:ascii="Times New Roman" w:hAnsi="Times New Roman"/>
          <w:sz w:val="24"/>
          <w:szCs w:val="24"/>
        </w:rPr>
        <w:t>tudtunk felszerelni</w:t>
      </w:r>
      <w:r w:rsidR="00004E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Az</w:t>
      </w:r>
      <w:r w:rsidR="00004E9C">
        <w:rPr>
          <w:rFonts w:ascii="Times New Roman" w:hAnsi="Times New Roman"/>
          <w:sz w:val="24"/>
          <w:szCs w:val="24"/>
        </w:rPr>
        <w:t xml:space="preserve"> új </w:t>
      </w:r>
      <w:r w:rsidR="00666792">
        <w:rPr>
          <w:rFonts w:ascii="Times New Roman" w:hAnsi="Times New Roman"/>
          <w:sz w:val="24"/>
          <w:szCs w:val="24"/>
        </w:rPr>
        <w:t>szak</w:t>
      </w:r>
      <w:r w:rsidR="00004E9C">
        <w:rPr>
          <w:rFonts w:ascii="Times New Roman" w:hAnsi="Times New Roman"/>
          <w:sz w:val="24"/>
          <w:szCs w:val="24"/>
        </w:rPr>
        <w:t>felszerelés</w:t>
      </w:r>
      <w:r>
        <w:rPr>
          <w:rFonts w:ascii="Times New Roman" w:hAnsi="Times New Roman"/>
          <w:sz w:val="24"/>
          <w:szCs w:val="24"/>
        </w:rPr>
        <w:t xml:space="preserve">ek </w:t>
      </w:r>
      <w:r w:rsidR="00004E9C">
        <w:rPr>
          <w:rFonts w:ascii="Times New Roman" w:hAnsi="Times New Roman"/>
          <w:sz w:val="24"/>
          <w:szCs w:val="24"/>
        </w:rPr>
        <w:t>elősegíti</w:t>
      </w:r>
      <w:r w:rsidR="004C7BB5">
        <w:rPr>
          <w:rFonts w:ascii="Times New Roman" w:hAnsi="Times New Roman"/>
          <w:sz w:val="24"/>
          <w:szCs w:val="24"/>
        </w:rPr>
        <w:t>k</w:t>
      </w:r>
      <w:r w:rsidR="00004E9C">
        <w:rPr>
          <w:rFonts w:ascii="Times New Roman" w:hAnsi="Times New Roman"/>
          <w:sz w:val="24"/>
          <w:szCs w:val="24"/>
        </w:rPr>
        <w:t xml:space="preserve"> a gyorsabb</w:t>
      </w:r>
      <w:r w:rsidR="00F677A2">
        <w:rPr>
          <w:rFonts w:ascii="Times New Roman" w:hAnsi="Times New Roman"/>
          <w:sz w:val="24"/>
          <w:szCs w:val="24"/>
        </w:rPr>
        <w:t>, hatékonyabb</w:t>
      </w:r>
      <w:r w:rsidR="00004E9C">
        <w:rPr>
          <w:rFonts w:ascii="Times New Roman" w:hAnsi="Times New Roman"/>
          <w:sz w:val="24"/>
          <w:szCs w:val="24"/>
        </w:rPr>
        <w:t xml:space="preserve"> </w:t>
      </w:r>
      <w:r w:rsidR="00F677A2">
        <w:rPr>
          <w:rFonts w:ascii="Times New Roman" w:hAnsi="Times New Roman"/>
          <w:sz w:val="24"/>
          <w:szCs w:val="24"/>
        </w:rPr>
        <w:t>beavatkozás</w:t>
      </w:r>
      <w:r w:rsidR="004C7BB5">
        <w:rPr>
          <w:rFonts w:ascii="Times New Roman" w:hAnsi="Times New Roman"/>
          <w:sz w:val="24"/>
          <w:szCs w:val="24"/>
        </w:rPr>
        <w:t>t</w:t>
      </w:r>
      <w:r w:rsidR="00F677A2">
        <w:rPr>
          <w:rFonts w:ascii="Times New Roman" w:hAnsi="Times New Roman"/>
          <w:sz w:val="24"/>
          <w:szCs w:val="24"/>
        </w:rPr>
        <w:t xml:space="preserve"> (</w:t>
      </w:r>
      <w:r w:rsidR="00004E9C">
        <w:rPr>
          <w:rFonts w:ascii="Times New Roman" w:hAnsi="Times New Roman"/>
          <w:sz w:val="24"/>
          <w:szCs w:val="24"/>
        </w:rPr>
        <w:t xml:space="preserve">új </w:t>
      </w:r>
      <w:r w:rsidR="008D55E1">
        <w:rPr>
          <w:rFonts w:ascii="Times New Roman" w:hAnsi="Times New Roman"/>
          <w:sz w:val="24"/>
          <w:szCs w:val="24"/>
        </w:rPr>
        <w:t>típusú</w:t>
      </w:r>
      <w:r w:rsidR="00004E9C">
        <w:rPr>
          <w:rFonts w:ascii="Times New Roman" w:hAnsi="Times New Roman"/>
          <w:sz w:val="24"/>
          <w:szCs w:val="24"/>
        </w:rPr>
        <w:t xml:space="preserve"> tűzcsapkulcs, </w:t>
      </w:r>
      <w:r w:rsidR="00F677A2">
        <w:rPr>
          <w:rFonts w:ascii="Times New Roman" w:hAnsi="Times New Roman"/>
          <w:sz w:val="24"/>
          <w:szCs w:val="24"/>
        </w:rPr>
        <w:t>L</w:t>
      </w:r>
      <w:r w:rsidR="008D55E1">
        <w:rPr>
          <w:rFonts w:ascii="Times New Roman" w:hAnsi="Times New Roman"/>
          <w:sz w:val="24"/>
          <w:szCs w:val="24"/>
        </w:rPr>
        <w:t>u</w:t>
      </w:r>
      <w:r w:rsidR="00F677A2">
        <w:rPr>
          <w:rFonts w:ascii="Times New Roman" w:hAnsi="Times New Roman"/>
          <w:sz w:val="24"/>
          <w:szCs w:val="24"/>
        </w:rPr>
        <w:t xml:space="preserve">kas feszítő-vágó speciális kiegészítő, </w:t>
      </w:r>
      <w:proofErr w:type="spellStart"/>
      <w:r w:rsidR="00F677A2">
        <w:rPr>
          <w:rFonts w:ascii="Times New Roman" w:hAnsi="Times New Roman"/>
          <w:sz w:val="24"/>
          <w:szCs w:val="24"/>
        </w:rPr>
        <w:t>Halligan</w:t>
      </w:r>
      <w:proofErr w:type="spellEnd"/>
      <w:r w:rsidR="00F67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7A2">
        <w:rPr>
          <w:rFonts w:ascii="Times New Roman" w:hAnsi="Times New Roman"/>
          <w:sz w:val="24"/>
          <w:szCs w:val="24"/>
        </w:rPr>
        <w:t>tool</w:t>
      </w:r>
      <w:proofErr w:type="spellEnd"/>
      <w:r w:rsidR="008D55E1">
        <w:rPr>
          <w:rFonts w:ascii="Times New Roman" w:hAnsi="Times New Roman"/>
          <w:sz w:val="24"/>
          <w:szCs w:val="24"/>
        </w:rPr>
        <w:t>).</w:t>
      </w:r>
    </w:p>
    <w:p w14:paraId="7141BD48" w14:textId="0FB6DFFF" w:rsidR="00CB0BB2" w:rsidRPr="00CB0BB2" w:rsidRDefault="00CB0BB2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Törökbálint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Tűzvédelméért Alapítvány 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több nagy</w:t>
      </w:r>
      <w:r w:rsidR="00BD7E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értékű eszközbeszerzéssel támogatta a tűzoltóságot.</w:t>
      </w:r>
    </w:p>
    <w:p w14:paraId="649B09ED" w14:textId="4CEBC4E1" w:rsidR="00916597" w:rsidRPr="0015341A" w:rsidRDefault="00916597" w:rsidP="00916597">
      <w:pPr>
        <w:pStyle w:val="Cmsor1"/>
        <w:spacing w:before="100" w:beforeAutospacing="1" w:after="100" w:afterAutospacing="1"/>
        <w:rPr>
          <w:b/>
        </w:rPr>
      </w:pPr>
      <w:bookmarkStart w:id="25" w:name="_Toc5110163"/>
      <w:bookmarkStart w:id="26" w:name="_Toc40190334"/>
      <w:bookmarkStart w:id="27" w:name="_Toc194919354"/>
      <w:r w:rsidRPr="007925AA">
        <w:rPr>
          <w:b/>
        </w:rPr>
        <w:t>Sporttevékenység</w:t>
      </w:r>
      <w:bookmarkEnd w:id="25"/>
      <w:bookmarkEnd w:id="26"/>
      <w:bookmarkEnd w:id="27"/>
    </w:p>
    <w:p w14:paraId="2AD8C601" w14:textId="2874A2F2" w:rsidR="00916597" w:rsidRPr="006F57C7" w:rsidRDefault="00D31159" w:rsidP="00FE475F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16597" w:rsidRPr="007925AA">
        <w:rPr>
          <w:rFonts w:ascii="Times New Roman" w:hAnsi="Times New Roman"/>
          <w:sz w:val="24"/>
          <w:szCs w:val="24"/>
        </w:rPr>
        <w:t xml:space="preserve">ovábbra is </w:t>
      </w:r>
      <w:r>
        <w:rPr>
          <w:rFonts w:ascii="Times New Roman" w:hAnsi="Times New Roman"/>
          <w:sz w:val="24"/>
          <w:szCs w:val="24"/>
        </w:rPr>
        <w:t>fontos</w:t>
      </w:r>
      <w:r w:rsidR="00916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16597">
        <w:rPr>
          <w:rFonts w:ascii="Times New Roman" w:hAnsi="Times New Roman"/>
          <w:sz w:val="24"/>
          <w:szCs w:val="24"/>
        </w:rPr>
        <w:t xml:space="preserve"> beavatkozó</w:t>
      </w:r>
      <w:r w:rsidR="00916597" w:rsidRPr="007925AA">
        <w:rPr>
          <w:rFonts w:ascii="Times New Roman" w:hAnsi="Times New Roman"/>
          <w:sz w:val="24"/>
          <w:szCs w:val="24"/>
        </w:rPr>
        <w:t xml:space="preserve"> állomány fizikai állóképességének szinten tartása és fejlesztése, aminek fokozott jelentősége van a</w:t>
      </w:r>
      <w:r w:rsidR="00916597">
        <w:rPr>
          <w:rFonts w:ascii="Times New Roman" w:hAnsi="Times New Roman"/>
          <w:sz w:val="24"/>
          <w:szCs w:val="24"/>
        </w:rPr>
        <w:t xml:space="preserve"> hosszantartó igénybevételek, és</w:t>
      </w:r>
      <w:r w:rsidR="00916597" w:rsidRPr="007925AA">
        <w:rPr>
          <w:rFonts w:ascii="Times New Roman" w:hAnsi="Times New Roman"/>
          <w:sz w:val="24"/>
          <w:szCs w:val="24"/>
        </w:rPr>
        <w:t xml:space="preserve"> a mindennapi munkavégzés során is. </w:t>
      </w:r>
    </w:p>
    <w:p w14:paraId="572DD601" w14:textId="00D8F72E" w:rsidR="0063408F" w:rsidRDefault="00916597" w:rsidP="005256A6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57C7">
        <w:rPr>
          <w:rFonts w:ascii="Times New Roman" w:hAnsi="Times New Roman"/>
          <w:sz w:val="24"/>
          <w:szCs w:val="24"/>
        </w:rPr>
        <w:t>Az egészségmegőrzést sze</w:t>
      </w:r>
      <w:r w:rsidR="00D31159">
        <w:rPr>
          <w:rFonts w:ascii="Times New Roman" w:hAnsi="Times New Roman"/>
          <w:sz w:val="24"/>
          <w:szCs w:val="24"/>
        </w:rPr>
        <w:t xml:space="preserve">m előtt tartva a laktanyában </w:t>
      </w:r>
      <w:r w:rsidRPr="006F57C7">
        <w:rPr>
          <w:rFonts w:ascii="Times New Roman" w:hAnsi="Times New Roman"/>
          <w:sz w:val="24"/>
          <w:szCs w:val="24"/>
        </w:rPr>
        <w:t>biztosított a sportolási lehetőség. Mindezen feltételek b</w:t>
      </w:r>
      <w:r w:rsidR="00EE23A6">
        <w:rPr>
          <w:rFonts w:ascii="Times New Roman" w:hAnsi="Times New Roman"/>
          <w:sz w:val="24"/>
          <w:szCs w:val="24"/>
        </w:rPr>
        <w:t xml:space="preserve">iztosításával az állomány évről </w:t>
      </w:r>
      <w:r w:rsidRPr="006F57C7">
        <w:rPr>
          <w:rFonts w:ascii="Times New Roman" w:hAnsi="Times New Roman"/>
          <w:sz w:val="24"/>
          <w:szCs w:val="24"/>
        </w:rPr>
        <w:t xml:space="preserve">évre eredményesen vesz részt országos és </w:t>
      </w:r>
      <w:r w:rsidR="00CB2C02">
        <w:rPr>
          <w:rFonts w:ascii="Times New Roman" w:hAnsi="Times New Roman"/>
          <w:sz w:val="24"/>
          <w:szCs w:val="24"/>
        </w:rPr>
        <w:t>vármegye</w:t>
      </w:r>
      <w:r w:rsidRPr="006F57C7">
        <w:rPr>
          <w:rFonts w:ascii="Times New Roman" w:hAnsi="Times New Roman"/>
          <w:sz w:val="24"/>
          <w:szCs w:val="24"/>
        </w:rPr>
        <w:t>i szintű sport- és szakmai versenyeken</w:t>
      </w:r>
      <w:r w:rsidR="00F94F68">
        <w:rPr>
          <w:rFonts w:ascii="Times New Roman" w:hAnsi="Times New Roman"/>
          <w:sz w:val="24"/>
          <w:szCs w:val="24"/>
        </w:rPr>
        <w:t xml:space="preserve">. </w:t>
      </w:r>
    </w:p>
    <w:p w14:paraId="23379B51" w14:textId="0515C5A2" w:rsidR="004D6F38" w:rsidRPr="004323F1" w:rsidRDefault="00783613" w:rsidP="004323F1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sikeres sport tevékenységhez felújított</w:t>
      </w:r>
      <w:r w:rsidR="00D31159">
        <w:rPr>
          <w:rFonts w:ascii="Times New Roman" w:hAnsi="Times New Roman"/>
          <w:sz w:val="24"/>
          <w:szCs w:val="24"/>
        </w:rPr>
        <w:t xml:space="preserve">uk a sport felszereléseket mindkét </w:t>
      </w:r>
      <w:r>
        <w:rPr>
          <w:rFonts w:ascii="Times New Roman" w:hAnsi="Times New Roman"/>
          <w:sz w:val="24"/>
          <w:szCs w:val="24"/>
        </w:rPr>
        <w:t>laktanyába</w:t>
      </w:r>
      <w:r w:rsidR="004C7BB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és beszerzésre</w:t>
      </w:r>
      <w:r w:rsidR="00D31159">
        <w:rPr>
          <w:rFonts w:ascii="Times New Roman" w:hAnsi="Times New Roman"/>
          <w:sz w:val="24"/>
          <w:szCs w:val="24"/>
        </w:rPr>
        <w:t xml:space="preserve"> került egy új típusú evező gép</w:t>
      </w:r>
      <w:r w:rsidR="004323F1">
        <w:rPr>
          <w:rFonts w:ascii="Times New Roman" w:hAnsi="Times New Roman"/>
          <w:sz w:val="24"/>
          <w:szCs w:val="24"/>
        </w:rPr>
        <w:t>.</w:t>
      </w:r>
    </w:p>
    <w:p w14:paraId="4D2531FE" w14:textId="05E888AC" w:rsidR="0091393B" w:rsidRPr="00CA4526" w:rsidRDefault="0091393B" w:rsidP="0075503A">
      <w:pPr>
        <w:pStyle w:val="Cmsor1"/>
        <w:spacing w:before="100" w:beforeAutospacing="1" w:after="100" w:afterAutospacing="1"/>
        <w:rPr>
          <w:b/>
          <w:bCs/>
        </w:rPr>
      </w:pPr>
      <w:bookmarkStart w:id="28" w:name="_Toc194919355"/>
      <w:r w:rsidRPr="00CA4526">
        <w:rPr>
          <w:b/>
          <w:bCs/>
        </w:rPr>
        <w:t>Összegzés</w:t>
      </w:r>
      <w:bookmarkEnd w:id="28"/>
    </w:p>
    <w:p w14:paraId="73B38811" w14:textId="77777777" w:rsidR="00CB0BB2" w:rsidRDefault="0091393B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4526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5D4A5E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CA45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62BB">
        <w:rPr>
          <w:rFonts w:ascii="Times New Roman" w:hAnsi="Times New Roman"/>
          <w:sz w:val="24"/>
          <w:szCs w:val="24"/>
          <w:shd w:val="clear" w:color="auto" w:fill="FFFFFF"/>
        </w:rPr>
        <w:t>Érd</w:t>
      </w:r>
      <w:r w:rsidR="005D4A5E">
        <w:rPr>
          <w:rFonts w:ascii="Times New Roman" w:hAnsi="Times New Roman"/>
          <w:sz w:val="24"/>
          <w:szCs w:val="24"/>
          <w:shd w:val="clear" w:color="auto" w:fill="FFFFFF"/>
        </w:rPr>
        <w:t xml:space="preserve"> HTP</w:t>
      </w:r>
      <w:r w:rsidR="00D311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7F6B" w:rsidRPr="00D24BC2">
        <w:rPr>
          <w:rFonts w:ascii="Times New Roman" w:hAnsi="Times New Roman"/>
          <w:sz w:val="24"/>
          <w:szCs w:val="24"/>
        </w:rPr>
        <w:t>állomány</w:t>
      </w:r>
      <w:r w:rsidR="007A7F6B">
        <w:rPr>
          <w:rFonts w:ascii="Times New Roman" w:hAnsi="Times New Roman"/>
          <w:sz w:val="24"/>
          <w:szCs w:val="24"/>
        </w:rPr>
        <w:t>a</w:t>
      </w:r>
      <w:r w:rsidR="007A7F6B" w:rsidRPr="00D24BC2">
        <w:rPr>
          <w:rFonts w:ascii="Times New Roman" w:hAnsi="Times New Roman"/>
          <w:sz w:val="24"/>
          <w:szCs w:val="24"/>
        </w:rPr>
        <w:t xml:space="preserve"> a lakosság elvárásaihoz igazodva, annak megfelelve határozottan és</w:t>
      </w:r>
      <w:r w:rsidR="007A7F6B">
        <w:rPr>
          <w:sz w:val="24"/>
          <w:szCs w:val="24"/>
        </w:rPr>
        <w:t xml:space="preserve"> </w:t>
      </w:r>
      <w:r w:rsidR="007A7F6B" w:rsidRPr="00D24BC2">
        <w:rPr>
          <w:rFonts w:ascii="Times New Roman" w:hAnsi="Times New Roman"/>
          <w:sz w:val="24"/>
          <w:szCs w:val="24"/>
        </w:rPr>
        <w:t>fegyelmezetten végezte tűzoltási és műszaki mentési tevékenységét.</w:t>
      </w:r>
      <w:r w:rsidR="007A7F6B">
        <w:rPr>
          <w:rFonts w:ascii="Times New Roman" w:hAnsi="Times New Roman"/>
          <w:sz w:val="24"/>
          <w:szCs w:val="24"/>
          <w:shd w:val="clear" w:color="auto" w:fill="FFFFFF"/>
        </w:rPr>
        <w:t xml:space="preserve"> Szem előtt tartottuk</w:t>
      </w:r>
      <w:r w:rsidRPr="00CA4526">
        <w:rPr>
          <w:rFonts w:ascii="Times New Roman" w:hAnsi="Times New Roman"/>
          <w:sz w:val="24"/>
          <w:szCs w:val="24"/>
          <w:shd w:val="clear" w:color="auto" w:fill="FFFFFF"/>
        </w:rPr>
        <w:t xml:space="preserve"> a társszervekkel, önkormányzatokkal és a lakossággal történő kapcsolattartást. Az állomány felkészültségében, fegyelmezettségében, hivatástudatában elért színvonal megtartása továbbra is célunk maradt, ezen értékek erősítése folyamatos. </w:t>
      </w:r>
    </w:p>
    <w:p w14:paraId="1E0FE901" w14:textId="560E657C" w:rsidR="00CB0BB2" w:rsidRPr="00033D4C" w:rsidRDefault="00033D4C" w:rsidP="00033D4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3D4C">
        <w:rPr>
          <w:rFonts w:ascii="Times New Roman" w:hAnsi="Times New Roman"/>
          <w:sz w:val="24"/>
          <w:szCs w:val="24"/>
          <w:shd w:val="clear" w:color="auto" w:fill="FFFFFF"/>
        </w:rPr>
        <w:t>Kiemelt figyelmet fordítottunk a lakóingatlanok, valamint</w:t>
      </w:r>
      <w:r w:rsidR="00B4034F">
        <w:rPr>
          <w:rFonts w:ascii="Times New Roman" w:hAnsi="Times New Roman"/>
          <w:sz w:val="24"/>
          <w:szCs w:val="24"/>
          <w:shd w:val="clear" w:color="auto" w:fill="FFFFFF"/>
        </w:rPr>
        <w:t xml:space="preserve"> a vegetációs tűzeseti számok </w:t>
      </w:r>
      <w:r w:rsidRPr="00033D4C">
        <w:rPr>
          <w:rFonts w:ascii="Times New Roman" w:hAnsi="Times New Roman"/>
          <w:sz w:val="24"/>
          <w:szCs w:val="24"/>
          <w:shd w:val="clear" w:color="auto" w:fill="FFFFFF"/>
        </w:rPr>
        <w:t xml:space="preserve">visszaszorítására. A helyi médiában folyamatosan megjelentünk az aktualitásokkal. </w:t>
      </w:r>
      <w:r w:rsidR="00CB0BB2" w:rsidRPr="00033D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713FEA6" w14:textId="77777777" w:rsidR="007A7F6B" w:rsidRPr="007A7F6B" w:rsidRDefault="007A7F6B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Működési területünkön a várható kockázatokat ismerjük, azokra felkészültünk, a térség településeinek tűzvédelmét biztosítjuk a szükséges eszközökkel és szakmai tudással. Készenléti szereink jó műszaki állapota nagymértékben támogatta célkitűzéseink megvalósítását.</w:t>
      </w:r>
    </w:p>
    <w:p w14:paraId="651D016A" w14:textId="77777777" w:rsidR="007A7F6B" w:rsidRDefault="007A7F6B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A káresetek folyamatos elemzése, a tudatos képzések, a megtartott gyakorlatok, valamint a sport egészségmegőrző, csapatépítő hatásának eredménye látszódott az éves teljesítményben, amelyben szerepet játszott a komplex gondolkodást előtérbe helyező munka.</w:t>
      </w:r>
    </w:p>
    <w:p w14:paraId="5E47354E" w14:textId="3C66394B" w:rsidR="00CB0BB2" w:rsidRPr="00CB0BB2" w:rsidRDefault="00CB0BB2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4BC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szolgálatellátás </w:t>
      </w:r>
      <w:r w:rsidRPr="00D24BC2">
        <w:rPr>
          <w:rFonts w:ascii="Times New Roman" w:hAnsi="Times New Roman"/>
          <w:sz w:val="24"/>
          <w:szCs w:val="24"/>
        </w:rPr>
        <w:t>biztosít</w:t>
      </w:r>
      <w:r>
        <w:rPr>
          <w:rFonts w:ascii="Times New Roman" w:hAnsi="Times New Roman"/>
          <w:sz w:val="24"/>
          <w:szCs w:val="24"/>
        </w:rPr>
        <w:t xml:space="preserve">ott volt. 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A létszámhelyzet stabilitá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sára nagy hangsúlyt fektettünk a 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toborzási és pályaorientációs tevékenység tervszerű végrehajtásával.</w:t>
      </w:r>
    </w:p>
    <w:p w14:paraId="1B4D478E" w14:textId="5BB054F2" w:rsidR="004D6F38" w:rsidRPr="007A7F6B" w:rsidRDefault="004D6F38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Érd HTP 2024. évben is biztosította a közösségi szolgálat teljesítésének lehetőségét az egy</w:t>
      </w:r>
      <w:r w:rsidR="00CB0BB2">
        <w:rPr>
          <w:rFonts w:ascii="Times New Roman" w:hAnsi="Times New Roman"/>
          <w:sz w:val="24"/>
          <w:szCs w:val="24"/>
          <w:shd w:val="clear" w:color="auto" w:fill="FFFFFF"/>
        </w:rPr>
        <w:t>üttműködő középiskolák részére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9C8CC2E" w14:textId="096A3241" w:rsidR="004D6F38" w:rsidRPr="007A7F6B" w:rsidRDefault="004D6F38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A nemzeti pályázatok biztosításával az egyesületek, és mentőszervezetek működési feltételeit, szakmai színvonalukat fejleszteni tudtuk.</w:t>
      </w:r>
    </w:p>
    <w:p w14:paraId="69170C8A" w14:textId="30016B2A" w:rsidR="004D6F38" w:rsidRPr="007A7F6B" w:rsidRDefault="004D6F38" w:rsidP="007A7F6B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7F6B">
        <w:rPr>
          <w:rFonts w:ascii="Times New Roman" w:hAnsi="Times New Roman"/>
          <w:sz w:val="24"/>
          <w:szCs w:val="24"/>
          <w:shd w:val="clear" w:color="auto" w:fill="FFFFFF"/>
        </w:rPr>
        <w:t xml:space="preserve">Méltóan szerepeltünk a különböző szakmai és sport versenyeken. A működési területünkön található önkormányzatokkal, önkéntes tűzoltó egyesülettel jó kapcsolatot tartottunk fenn, </w:t>
      </w:r>
      <w:r w:rsidR="00CB0B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7A7F6B">
        <w:rPr>
          <w:rFonts w:ascii="Times New Roman" w:hAnsi="Times New Roman"/>
          <w:sz w:val="24"/>
          <w:szCs w:val="24"/>
          <w:shd w:val="clear" w:color="auto" w:fill="FFFFFF"/>
        </w:rPr>
        <w:t>melyre a következő években is törekedni fogunk. A személyi állomány példamutató munkájára, támogatására továbbra is szükség lesz.</w:t>
      </w:r>
    </w:p>
    <w:p w14:paraId="2DE196F9" w14:textId="0D3556F8" w:rsidR="004D6F38" w:rsidRDefault="004D6F38" w:rsidP="00D31159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4526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CA45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Érd</w:t>
      </w:r>
      <w:r w:rsidRPr="00CA4526">
        <w:rPr>
          <w:rFonts w:ascii="Times New Roman" w:hAnsi="Times New Roman"/>
          <w:sz w:val="24"/>
          <w:szCs w:val="24"/>
          <w:shd w:val="clear" w:color="auto" w:fill="FFFFFF"/>
        </w:rPr>
        <w:t xml:space="preserve"> HTP a vizsgált időszakban biztosította a működési területen élők biztonságát, a területén előre jelezhető kockázatokra felkészült, a bekövetkezett káreseményeket maradéktalanul felszámolta. Munkája során nagy hangsúlyt fektetett a lakosság biztonságának és biztonságérzetének növelésére.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7BB83A9" w14:textId="155EC6F9" w:rsidR="008A179C" w:rsidRDefault="008A1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4272" w14:textId="1CAA9A2B" w:rsidR="0063408F" w:rsidRDefault="00D12EC4" w:rsidP="00CB0BB2">
      <w:pPr>
        <w:pStyle w:val="Cmsor1"/>
        <w:spacing w:before="240" w:after="240"/>
        <w:rPr>
          <w:b/>
          <w:bCs/>
        </w:rPr>
      </w:pPr>
      <w:bookmarkStart w:id="29" w:name="_Toc194919356"/>
      <w:r>
        <w:rPr>
          <w:b/>
          <w:bCs/>
        </w:rPr>
        <w:lastRenderedPageBreak/>
        <w:t xml:space="preserve">III. </w:t>
      </w:r>
      <w:r w:rsidRPr="00D12EC4">
        <w:rPr>
          <w:b/>
          <w:bCs/>
        </w:rPr>
        <w:t>2025</w:t>
      </w:r>
      <w:r w:rsidR="006261CD">
        <w:rPr>
          <w:b/>
          <w:bCs/>
        </w:rPr>
        <w:t>.</w:t>
      </w:r>
      <w:r w:rsidRPr="00D12EC4">
        <w:rPr>
          <w:b/>
          <w:bCs/>
        </w:rPr>
        <w:t xml:space="preserve"> ÉV</w:t>
      </w:r>
      <w:r w:rsidR="0075503A" w:rsidRPr="00D12EC4">
        <w:rPr>
          <w:b/>
          <w:bCs/>
        </w:rPr>
        <w:t xml:space="preserve"> FELADATAI</w:t>
      </w:r>
      <w:r w:rsidR="006261CD">
        <w:rPr>
          <w:b/>
          <w:bCs/>
        </w:rPr>
        <w:t>,</w:t>
      </w:r>
      <w:r w:rsidRPr="00D12EC4">
        <w:rPr>
          <w:b/>
          <w:bCs/>
        </w:rPr>
        <w:t xml:space="preserve"> CÉLKITŰZÉSEI</w:t>
      </w:r>
      <w:bookmarkEnd w:id="29"/>
    </w:p>
    <w:p w14:paraId="546ED4CE" w14:textId="3B28BEF1" w:rsidR="00BD7E62" w:rsidRDefault="00BD7E62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A tűzesetek számának és a tűzeseti halálesetek visszaszorítása szén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monoxid mérgezéssel járó események számának csökkentése továbbra is kiemelt feladat. </w:t>
      </w:r>
      <w:r w:rsidRPr="004D6F38">
        <w:rPr>
          <w:rFonts w:ascii="Times New Roman" w:hAnsi="Times New Roman"/>
          <w:sz w:val="24"/>
          <w:szCs w:val="24"/>
          <w:shd w:val="clear" w:color="auto" w:fill="FFFFFF"/>
        </w:rPr>
        <w:t xml:space="preserve">A készenléti szolgálatok a tevékenységük során, azzal párhuzamosan preventív szemlélettel kell, hogy végezzék szolgálati feladataikat. 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Szükséges a lakosság megfelelő színvonalú tájékoztatása és felkészítése, 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melyben a katasztrófavédelem szervezetén kívül nagy szerep jut a média különböző szereplőinek.</w:t>
      </w:r>
    </w:p>
    <w:p w14:paraId="5E2FE771" w14:textId="5D824CB7" w:rsidR="004D6F38" w:rsidRPr="004D6F38" w:rsidRDefault="004D6F38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6F38">
        <w:rPr>
          <w:rFonts w:ascii="Times New Roman" w:hAnsi="Times New Roman"/>
          <w:sz w:val="24"/>
          <w:szCs w:val="24"/>
          <w:shd w:val="clear" w:color="auto" w:fill="FFFFFF"/>
        </w:rPr>
        <w:t>A HTP 2025. évben még nagyobb igyekezettel, a folyamatos fejlődés szem előtt tartásával, a szervezeti kultúrából fakadó követelményeknek megfelelve példamutatóan, az államigazgatási szervekkel, a hivatásos és civil szervezetekkel együttműködve, a társadalom megelégedésére kívánja biztosítani a területén élő állampolgárok, élet- és vagyonbiztonságát. Tevékenységével igyekszik méltó módon képviselni a rendvédelem, azon belül a katasztrófavédelem szervezetét.</w:t>
      </w:r>
    </w:p>
    <w:p w14:paraId="3591E49C" w14:textId="2CC0577F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A HTP területén működő Vál ÖTP</w:t>
      </w:r>
      <w:r w:rsidR="00F677A2"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 és FER Tűzoltóság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, a kilenc ÖTE, a járási és települési mentőcsoportokkal történő együttműködésre, kapcsolattartásra, valamint tevékenységük felügyeletére, segítésére, az előző év</w:t>
      </w:r>
      <w:r w:rsidR="00CB0BB2">
        <w:rPr>
          <w:rFonts w:ascii="Times New Roman" w:hAnsi="Times New Roman"/>
          <w:sz w:val="24"/>
          <w:szCs w:val="24"/>
          <w:shd w:val="clear" w:color="auto" w:fill="FFFFFF"/>
        </w:rPr>
        <w:t>ek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hez hasonlóan nagy hangsúlyt kell fektetni.</w:t>
      </w:r>
    </w:p>
    <w:p w14:paraId="50291BEE" w14:textId="69E9716F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A járási hivatalokkal, önkormányzatokkal, társszervekkel, a térségben működő civil szervezetekkel, alapítványokkal történő kapcsolattartás jó színvonalának fenntartása kiemelt feladat. A gyors és hatékony együttműködés nem csak káresemények, hanem a napi munka során is előnyös.</w:t>
      </w:r>
    </w:p>
    <w:p w14:paraId="542169ED" w14:textId="0F85BD43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Az újonnan kinevezett, fiatal tűzoltók esetében rendkívül fontos, hogy a közvetlen vezetőik irányításával minél hamarabb megismerjék a </w:t>
      </w:r>
      <w:proofErr w:type="spellStart"/>
      <w:r w:rsidR="00CB0BB2">
        <w:rPr>
          <w:rFonts w:ascii="Times New Roman" w:hAnsi="Times New Roman"/>
          <w:sz w:val="24"/>
          <w:szCs w:val="24"/>
          <w:shd w:val="clear" w:color="auto" w:fill="FFFFFF"/>
        </w:rPr>
        <w:t>HTP</w:t>
      </w:r>
      <w:r w:rsidR="003875F4" w:rsidRPr="00CB0BB2">
        <w:rPr>
          <w:rFonts w:ascii="Times New Roman" w:hAnsi="Times New Roman"/>
          <w:sz w:val="24"/>
          <w:szCs w:val="24"/>
          <w:shd w:val="clear" w:color="auto" w:fill="FFFFFF"/>
        </w:rPr>
        <w:t>-t</w:t>
      </w:r>
      <w:proofErr w:type="spellEnd"/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 érintő feladatokat és munkafolyamatokat.</w:t>
      </w:r>
    </w:p>
    <w:p w14:paraId="1A8315BE" w14:textId="77777777" w:rsidR="00CB0BB2" w:rsidRDefault="00CB0BB2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Továbbra is törekszünk a </w:t>
      </w:r>
      <w:r w:rsidR="008A179C">
        <w:rPr>
          <w:rFonts w:ascii="Times New Roman" w:hAnsi="Times New Roman"/>
          <w:sz w:val="24"/>
          <w:szCs w:val="24"/>
          <w:shd w:val="clear" w:color="auto" w:fill="FFFFFF"/>
        </w:rPr>
        <w:t>felszerelések és a műszaki eszközök állapotának megóvás</w:t>
      </w:r>
      <w:r>
        <w:rPr>
          <w:rFonts w:ascii="Times New Roman" w:hAnsi="Times New Roman"/>
          <w:sz w:val="24"/>
          <w:szCs w:val="24"/>
          <w:shd w:val="clear" w:color="auto" w:fill="FFFFFF"/>
        </w:rPr>
        <w:t>ár</w:t>
      </w:r>
      <w:r w:rsidR="008A179C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8A179C"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6F38" w:rsidRPr="00CB0BB2">
        <w:rPr>
          <w:rFonts w:ascii="Times New Roman" w:hAnsi="Times New Roman"/>
          <w:sz w:val="24"/>
          <w:szCs w:val="24"/>
          <w:shd w:val="clear" w:color="auto" w:fill="FFFFFF"/>
        </w:rPr>
        <w:t>a költsé</w:t>
      </w:r>
      <w:r>
        <w:rPr>
          <w:rFonts w:ascii="Times New Roman" w:hAnsi="Times New Roman"/>
          <w:sz w:val="24"/>
          <w:szCs w:val="24"/>
          <w:shd w:val="clear" w:color="auto" w:fill="FFFFFF"/>
        </w:rPr>
        <w:t>ghatékonyság szem előtt tartásáv</w:t>
      </w:r>
      <w:r w:rsidR="004D6F38" w:rsidRPr="00CB0B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4D6F38" w:rsidRPr="00CB0BB2">
        <w:rPr>
          <w:rFonts w:ascii="Times New Roman" w:hAnsi="Times New Roman"/>
          <w:sz w:val="24"/>
          <w:szCs w:val="24"/>
          <w:shd w:val="clear" w:color="auto" w:fill="FFFFFF"/>
        </w:rPr>
        <w:t>, a tűzoltós</w:t>
      </w:r>
      <w:r>
        <w:rPr>
          <w:rFonts w:ascii="Times New Roman" w:hAnsi="Times New Roman"/>
          <w:sz w:val="24"/>
          <w:szCs w:val="24"/>
          <w:shd w:val="clear" w:color="auto" w:fill="FFFFFF"/>
        </w:rPr>
        <w:t>ág épületében az állagmegóvásra.</w:t>
      </w:r>
    </w:p>
    <w:p w14:paraId="01E65199" w14:textId="1B4A614F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Fontos feladat a személyi állomány 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 xml:space="preserve">részvétele 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CB0BB2">
        <w:rPr>
          <w:rFonts w:ascii="Times New Roman" w:hAnsi="Times New Roman"/>
          <w:sz w:val="24"/>
          <w:szCs w:val="24"/>
          <w:shd w:val="clear" w:color="auto" w:fill="FFFFFF"/>
        </w:rPr>
        <w:t xml:space="preserve">szakmai 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képzések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>ben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, továbbképzések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>ben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 (szervezeten belül és kívü</w:t>
      </w:r>
      <w:r w:rsidR="00CB0BB2">
        <w:rPr>
          <w:rFonts w:ascii="Times New Roman" w:hAnsi="Times New Roman"/>
          <w:sz w:val="24"/>
          <w:szCs w:val="24"/>
          <w:shd w:val="clear" w:color="auto" w:fill="FFFFFF"/>
        </w:rPr>
        <w:t>l)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>. Az életszerű gyakorlatok nagymértékben hozzájárulnak a képességek fejlesztéséhez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B7F9C" w:rsidRPr="008B7F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BD51120" w14:textId="19447098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Szervezetünk a továbbiakban is lehetőséget 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 xml:space="preserve">biztosít 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a középiskolák tanulói számára előírt közösségi szolgálat teljesítésére, ahol a diákok a napi munkálatok, a laktanya környeze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 xml:space="preserve">tében 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>megismerkedhetnek a katasztrófavédelem szervezetével is.</w:t>
      </w:r>
    </w:p>
    <w:p w14:paraId="095A8A82" w14:textId="18385377" w:rsidR="008A179C" w:rsidRPr="00CB0BB2" w:rsidRDefault="008A17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Továbbra is részt veszünk a működési területen tartandó rendezvények felügyeletében, részvételünkkel azok színvonalának emelésében. </w:t>
      </w:r>
      <w:r w:rsidR="008B7F9C">
        <w:rPr>
          <w:rFonts w:ascii="Times New Roman" w:hAnsi="Times New Roman"/>
          <w:sz w:val="24"/>
          <w:szCs w:val="24"/>
          <w:shd w:val="clear" w:color="auto" w:fill="FFFFFF"/>
        </w:rPr>
        <w:t>Megszervezzük</w:t>
      </w:r>
      <w:r w:rsidRPr="00CB0BB2">
        <w:rPr>
          <w:rFonts w:ascii="Times New Roman" w:hAnsi="Times New Roman"/>
          <w:sz w:val="24"/>
          <w:szCs w:val="24"/>
          <w:shd w:val="clear" w:color="auto" w:fill="FFFFFF"/>
        </w:rPr>
        <w:t xml:space="preserve"> a tűzoltóság nyílt napját, ahol lehetőséget biztosítunk az állampolgárok számára a tűzoltók életébe való betekintésre.</w:t>
      </w:r>
    </w:p>
    <w:p w14:paraId="0EE7804C" w14:textId="77777777" w:rsidR="008B7F9C" w:rsidRPr="008B7F9C" w:rsidRDefault="008B7F9C" w:rsidP="008B7F9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7F9C">
        <w:rPr>
          <w:rFonts w:ascii="Times New Roman" w:hAnsi="Times New Roman"/>
          <w:sz w:val="24"/>
          <w:szCs w:val="24"/>
          <w:shd w:val="clear" w:color="auto" w:fill="FFFFFF"/>
        </w:rPr>
        <w:t>A lakosság védelme érdekében minden területen lévő állampolgárt és együttműködőt biztosítunk arról, hogy 2025. évben továbbra is számíthat a HTP személyi állományára.</w:t>
      </w:r>
    </w:p>
    <w:p w14:paraId="02F28FCF" w14:textId="77777777" w:rsidR="008B7F9C" w:rsidRDefault="008B7F9C" w:rsidP="00CB0BB2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D4F9EB5" w14:textId="6EB08A7E" w:rsidR="008A179C" w:rsidRDefault="008A179C" w:rsidP="00CB0BB2">
      <w:pPr>
        <w:spacing w:after="120" w:line="240" w:lineRule="auto"/>
        <w:ind w:right="-284"/>
        <w:jc w:val="both"/>
        <w:rPr>
          <w:lang w:eastAsia="hu-HU"/>
        </w:rPr>
      </w:pPr>
      <w:r>
        <w:rPr>
          <w:lang w:eastAsia="hu-HU"/>
        </w:rPr>
        <w:br w:type="page"/>
      </w:r>
    </w:p>
    <w:p w14:paraId="44542CFA" w14:textId="688C825C" w:rsidR="008B7F9C" w:rsidRDefault="008B7F9C" w:rsidP="00302705">
      <w:pPr>
        <w:spacing w:line="240" w:lineRule="auto"/>
        <w:jc w:val="center"/>
        <w:rPr>
          <w:b/>
          <w:lang w:eastAsia="hu-HU"/>
        </w:rPr>
      </w:pPr>
      <w:r>
        <w:rPr>
          <w:b/>
          <w:lang w:eastAsia="hu-HU"/>
        </w:rPr>
        <w:lastRenderedPageBreak/>
        <w:t>Mellékletek</w:t>
      </w:r>
    </w:p>
    <w:p w14:paraId="74C3D4EC" w14:textId="73B91058" w:rsidR="00302705" w:rsidRDefault="00302705" w:rsidP="008B7F9C">
      <w:pPr>
        <w:pStyle w:val="Listaszerbekezds"/>
        <w:numPr>
          <w:ilvl w:val="0"/>
          <w:numId w:val="29"/>
        </w:numPr>
        <w:spacing w:line="240" w:lineRule="auto"/>
        <w:jc w:val="center"/>
      </w:pPr>
      <w:r w:rsidRPr="008B7F9C">
        <w:rPr>
          <w:b/>
        </w:rPr>
        <w:t>2024. év országos riasztási adatok</w:t>
      </w:r>
    </w:p>
    <w:p w14:paraId="72E08274" w14:textId="314D63DF" w:rsidR="006B3F5E" w:rsidRPr="00BF7BA6" w:rsidRDefault="006B3F5E" w:rsidP="006B3F5E">
      <w:pPr>
        <w:tabs>
          <w:tab w:val="left" w:pos="6888"/>
        </w:tabs>
        <w:spacing w:before="240"/>
        <w:rPr>
          <w:b/>
          <w:lang w:eastAsia="hu-HU"/>
        </w:rPr>
      </w:pPr>
    </w:p>
    <w:tbl>
      <w:tblPr>
        <w:tblpPr w:leftFromText="141" w:rightFromText="141" w:tblpXSpec="center" w:tblpY="608"/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27"/>
        <w:gridCol w:w="2050"/>
        <w:gridCol w:w="1843"/>
        <w:gridCol w:w="1276"/>
      </w:tblGrid>
      <w:tr w:rsidR="00B4034F" w:rsidRPr="003828B5" w14:paraId="44A13BC3" w14:textId="77777777" w:rsidTr="00B4034F">
        <w:trPr>
          <w:trHeight w:val="8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47CE" w14:textId="2FB9B741" w:rsidR="00B4034F" w:rsidRPr="003828B5" w:rsidRDefault="00B4034F" w:rsidP="003828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  <w:t>Szervezet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A1BA" w14:textId="77777777" w:rsidR="00B4034F" w:rsidRPr="003828B5" w:rsidRDefault="00B4034F" w:rsidP="003828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</w:pPr>
            <w:r w:rsidRPr="003828B5"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  <w:t>Összes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86DC" w14:textId="77777777" w:rsidR="00B4034F" w:rsidRPr="003828B5" w:rsidRDefault="00B4034F" w:rsidP="003828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</w:pPr>
            <w:r w:rsidRPr="003828B5"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  <w:t>Beavatkozást igénylő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C4E8" w14:textId="77777777" w:rsidR="00B4034F" w:rsidRPr="003828B5" w:rsidRDefault="00B4034F" w:rsidP="003828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</w:pPr>
            <w:r w:rsidRPr="003828B5"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  <w:t>Kiérkezés előtt felszámolt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7213" w14:textId="77777777" w:rsidR="00B4034F" w:rsidRPr="003828B5" w:rsidRDefault="00B4034F" w:rsidP="003828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</w:pPr>
            <w:r w:rsidRPr="003828B5">
              <w:rPr>
                <w:rFonts w:ascii="Tahoma" w:eastAsia="Times New Roman" w:hAnsi="Tahoma" w:cs="Tahoma"/>
                <w:b/>
                <w:bCs/>
                <w:color w:val="000000"/>
                <w:lang w:eastAsia="hu-HU"/>
              </w:rPr>
              <w:t>Téves Jelzés</w:t>
            </w:r>
          </w:p>
        </w:tc>
      </w:tr>
      <w:tr w:rsidR="00B4034F" w:rsidRPr="003828B5" w14:paraId="00FCF548" w14:textId="77777777" w:rsidTr="00B4034F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127BE6" w14:textId="77777777" w:rsidR="00B4034F" w:rsidRPr="00B4034F" w:rsidRDefault="00B4034F" w:rsidP="003828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B4034F">
              <w:rPr>
                <w:rFonts w:ascii="Tahoma" w:eastAsia="Times New Roman" w:hAnsi="Tahoma" w:cs="Tahoma"/>
                <w:color w:val="000000"/>
                <w:lang w:eastAsia="hu-HU"/>
              </w:rPr>
              <w:t>Érd 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280962" w14:textId="77777777" w:rsidR="00B4034F" w:rsidRPr="00B4034F" w:rsidRDefault="00B4034F" w:rsidP="003828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B4034F">
              <w:rPr>
                <w:rFonts w:ascii="Tahoma" w:eastAsia="Times New Roman" w:hAnsi="Tahoma" w:cs="Tahoma"/>
                <w:color w:val="000000"/>
                <w:lang w:eastAsia="hu-HU"/>
              </w:rPr>
              <w:t>1531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41034" w14:textId="092BD41B" w:rsidR="00B4034F" w:rsidRPr="003828B5" w:rsidRDefault="00B4034F" w:rsidP="003828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u-HU"/>
              </w:rPr>
            </w:pPr>
            <w:r w:rsidRPr="003828B5">
              <w:rPr>
                <w:rFonts w:ascii="Tahoma" w:eastAsia="Times New Roman" w:hAnsi="Tahoma" w:cs="Tahoma"/>
                <w:color w:val="000000"/>
                <w:lang w:eastAsia="hu-HU"/>
              </w:rPr>
              <w:t>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70C37" w14:textId="7174D809" w:rsidR="00B4034F" w:rsidRPr="003828B5" w:rsidRDefault="00B4034F" w:rsidP="003828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1E362" w14:textId="2A90D55F" w:rsidR="00B4034F" w:rsidRPr="003828B5" w:rsidRDefault="00B4034F" w:rsidP="003828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u-HU"/>
              </w:rPr>
            </w:pPr>
            <w:r>
              <w:rPr>
                <w:rFonts w:ascii="Tahoma" w:eastAsia="Times New Roman" w:hAnsi="Tahoma" w:cs="Tahoma"/>
                <w:color w:val="000000"/>
                <w:lang w:eastAsia="hu-HU"/>
              </w:rPr>
              <w:t>499</w:t>
            </w:r>
          </w:p>
        </w:tc>
      </w:tr>
    </w:tbl>
    <w:p w14:paraId="68AA4379" w14:textId="77777777" w:rsidR="00BF7BA6" w:rsidRDefault="00BF7BA6">
      <w:pPr>
        <w:spacing w:after="0" w:line="240" w:lineRule="auto"/>
        <w:rPr>
          <w:lang w:eastAsia="hu-HU"/>
        </w:rPr>
      </w:pPr>
    </w:p>
    <w:tbl>
      <w:tblPr>
        <w:tblW w:w="976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2"/>
        <w:gridCol w:w="475"/>
        <w:gridCol w:w="422"/>
        <w:gridCol w:w="422"/>
        <w:gridCol w:w="520"/>
        <w:gridCol w:w="520"/>
        <w:gridCol w:w="422"/>
        <w:gridCol w:w="422"/>
        <w:gridCol w:w="422"/>
        <w:gridCol w:w="422"/>
        <w:gridCol w:w="520"/>
        <w:gridCol w:w="422"/>
        <w:gridCol w:w="422"/>
        <w:gridCol w:w="422"/>
        <w:gridCol w:w="422"/>
        <w:gridCol w:w="520"/>
        <w:gridCol w:w="520"/>
        <w:gridCol w:w="520"/>
        <w:gridCol w:w="422"/>
        <w:gridCol w:w="520"/>
      </w:tblGrid>
      <w:tr w:rsidR="00685B46" w:rsidRPr="00685B46" w14:paraId="290E45F6" w14:textId="77777777" w:rsidTr="00010346">
        <w:trPr>
          <w:trHeight w:val="15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FA5F59" w14:textId="77777777" w:rsidR="00685B46" w:rsidRPr="00685B46" w:rsidRDefault="00685B46" w:rsidP="00685B46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28B797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Baracska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180907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Biatorbágy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1F1E0B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Budaörs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0774B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Diósd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7D5649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Ercsi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63E06D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Érd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A56806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Etyek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949162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Gyúró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9A4952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Herceghalom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FBBE23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Kajászó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B9F50B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Martonvásár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FA86E8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Páty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1638F1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Pusztazámor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93340C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Ráckeresztúr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405034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Sóskút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51BC4E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685B46">
              <w:rPr>
                <w:rFonts w:eastAsia="Times New Roman" w:cs="Calibri"/>
                <w:color w:val="000000"/>
                <w:lang w:eastAsia="hu-HU"/>
              </w:rPr>
              <w:t>Százhaombatta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B1A58B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Tárnok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28C1F5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Tordas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A57C2A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Törökbálint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993EE3" w14:textId="77777777" w:rsidR="00685B46" w:rsidRPr="00685B46" w:rsidRDefault="00685B46" w:rsidP="00685B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Vál</w:t>
            </w:r>
          </w:p>
        </w:tc>
      </w:tr>
      <w:tr w:rsidR="00685B46" w:rsidRPr="00685B46" w14:paraId="4FF9E4B3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A6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E6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F0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DBE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04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F51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9B9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7C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0F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A2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4A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EA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0A7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F8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E9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C5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9B82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70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F9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302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DF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</w:tr>
      <w:tr w:rsidR="00685B46" w:rsidRPr="00685B46" w14:paraId="06B334C1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22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872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DE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EC7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C4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9C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B7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9B0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2B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5E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05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48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F0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BD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DE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7C7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21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DB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9E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1A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1B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</w:tr>
      <w:tr w:rsidR="00685B46" w:rsidRPr="00685B46" w14:paraId="1AE7298F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03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F5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C5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C6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95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55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63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269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29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0B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0A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C4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E0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EA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DE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E5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74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C8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C42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E5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50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34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</w:tr>
      <w:tr w:rsidR="00685B46" w:rsidRPr="00685B46" w14:paraId="7FE8066A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72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3F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45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5C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26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0F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A7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269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189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0F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CB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E8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F0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7F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076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B6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5C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96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6C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D1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16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64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</w:tr>
      <w:tr w:rsidR="00685B46" w:rsidRPr="00685B46" w14:paraId="43D3E964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6D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8E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01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93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55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8F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F0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322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293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88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CD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C1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8B9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81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E9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AD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16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FA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23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78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D3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45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E0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</w:tr>
      <w:tr w:rsidR="00685B46" w:rsidRPr="00685B46" w14:paraId="36B4B049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0A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467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7F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5F0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22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8E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9D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073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E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C5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ABC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C4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09F3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BD1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0E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F7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09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B5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04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21F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2E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</w:tr>
      <w:tr w:rsidR="00685B46" w:rsidRPr="00685B46" w14:paraId="0B2B8558" w14:textId="77777777" w:rsidTr="0001034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29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b/>
                <w:bCs/>
                <w:color w:val="000000"/>
                <w:lang w:eastAsia="hu-HU"/>
              </w:rPr>
              <w:t>2024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61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BC5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F1E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D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2D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A4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273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BA54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A72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0D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17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F09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DEF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8B8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E16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AA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70D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18EA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5E0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FA7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E7B" w14:textId="77777777" w:rsidR="00685B46" w:rsidRPr="00685B46" w:rsidRDefault="00685B46" w:rsidP="00685B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685B46">
              <w:rPr>
                <w:rFonts w:eastAsia="Times New Roman" w:cs="Calibri"/>
                <w:color w:val="000000"/>
                <w:lang w:eastAsia="hu-HU"/>
              </w:rPr>
              <w:t>0</w:t>
            </w:r>
          </w:p>
        </w:tc>
      </w:tr>
    </w:tbl>
    <w:p w14:paraId="3737E8A3" w14:textId="08587C29" w:rsidR="008B7F9C" w:rsidRPr="008B7F9C" w:rsidRDefault="008B7F9C" w:rsidP="008B7F9C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b/>
        </w:rPr>
      </w:pPr>
      <w:r w:rsidRPr="008B7F9C">
        <w:rPr>
          <w:b/>
        </w:rPr>
        <w:t>Beavatkozások száma település szerint</w:t>
      </w:r>
    </w:p>
    <w:p w14:paraId="28DDD641" w14:textId="6F681240" w:rsidR="0075503A" w:rsidRDefault="0075503A" w:rsidP="008B7F9C">
      <w:pPr>
        <w:spacing w:after="0" w:line="240" w:lineRule="auto"/>
        <w:jc w:val="center"/>
        <w:rPr>
          <w:lang w:eastAsia="hu-HU"/>
        </w:rPr>
      </w:pPr>
    </w:p>
    <w:p w14:paraId="394D78FC" w14:textId="77777777" w:rsidR="008B7F9C" w:rsidRDefault="008B7F9C" w:rsidP="00302705">
      <w:pPr>
        <w:spacing w:after="0" w:line="240" w:lineRule="auto"/>
        <w:rPr>
          <w:lang w:eastAsia="hu-HU"/>
        </w:rPr>
      </w:pPr>
    </w:p>
    <w:p w14:paraId="6C273562" w14:textId="77777777" w:rsidR="008B7F9C" w:rsidRDefault="008B7F9C" w:rsidP="00302705">
      <w:pPr>
        <w:spacing w:after="0" w:line="240" w:lineRule="auto"/>
        <w:rPr>
          <w:lang w:eastAsia="hu-HU"/>
        </w:rPr>
      </w:pPr>
    </w:p>
    <w:p w14:paraId="685EBE93" w14:textId="4C1E1D9D" w:rsidR="00796EA3" w:rsidRDefault="0088336B" w:rsidP="0088336B">
      <w:pPr>
        <w:spacing w:after="0" w:line="240" w:lineRule="auto"/>
        <w:jc w:val="center"/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3A62E06F" wp14:editId="1C545726">
            <wp:extent cx="4547260" cy="2824711"/>
            <wp:effectExtent l="0" t="0" r="5715" b="13970"/>
            <wp:docPr id="1225844483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0FDF8D-6AFE-D657-5D81-B3FBBC9C8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E07711" w14:textId="19EBED3E" w:rsidR="008B7F9C" w:rsidRPr="008B7F9C" w:rsidRDefault="008B7F9C" w:rsidP="008B7F9C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b/>
        </w:rPr>
      </w:pPr>
      <w:r>
        <w:rPr>
          <w:b/>
        </w:rPr>
        <w:t>ÖTE b</w:t>
      </w:r>
      <w:r w:rsidRPr="008B7F9C">
        <w:rPr>
          <w:b/>
        </w:rPr>
        <w:t>eavatkozások száma település</w:t>
      </w:r>
      <w:r>
        <w:rPr>
          <w:b/>
        </w:rPr>
        <w:t>ek</w:t>
      </w:r>
      <w:r w:rsidRPr="008B7F9C">
        <w:rPr>
          <w:b/>
        </w:rPr>
        <w:t xml:space="preserve"> szerint</w:t>
      </w:r>
    </w:p>
    <w:sectPr w:rsidR="008B7F9C" w:rsidRPr="008B7F9C" w:rsidSect="00E373F6">
      <w:headerReference w:type="even" r:id="rId17"/>
      <w:footerReference w:type="default" r:id="rId18"/>
      <w:headerReference w:type="first" r:id="rId19"/>
      <w:pgSz w:w="11906" w:h="16838"/>
      <w:pgMar w:top="-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D4BC" w14:textId="77777777" w:rsidR="004323F1" w:rsidRDefault="004323F1">
      <w:pPr>
        <w:spacing w:after="0" w:line="240" w:lineRule="auto"/>
      </w:pPr>
      <w:r>
        <w:separator/>
      </w:r>
    </w:p>
  </w:endnote>
  <w:endnote w:type="continuationSeparator" w:id="0">
    <w:p w14:paraId="7BF13F51" w14:textId="77777777" w:rsidR="004323F1" w:rsidRDefault="004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DejaVu Sans">
    <w:altName w:val="MS Gothic"/>
    <w:charset w:val="80"/>
    <w:family w:val="auto"/>
    <w:pitch w:val="variable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811569"/>
      <w:docPartObj>
        <w:docPartGallery w:val="Page Numbers (Bottom of Page)"/>
        <w:docPartUnique/>
      </w:docPartObj>
    </w:sdtPr>
    <w:sdtEndPr/>
    <w:sdtContent>
      <w:p w14:paraId="0600D387" w14:textId="637BCDFD" w:rsidR="004323F1" w:rsidRDefault="004323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A9F">
          <w:rPr>
            <w:noProof/>
          </w:rPr>
          <w:t>8</w:t>
        </w:r>
        <w:r>
          <w:fldChar w:fldCharType="end"/>
        </w:r>
      </w:p>
    </w:sdtContent>
  </w:sdt>
  <w:p w14:paraId="3DB8154E" w14:textId="5356AD7F" w:rsidR="004323F1" w:rsidRDefault="004323F1" w:rsidP="00921CE3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80F4D" w14:textId="77777777" w:rsidR="004323F1" w:rsidRDefault="004323F1">
      <w:pPr>
        <w:spacing w:after="0" w:line="240" w:lineRule="auto"/>
      </w:pPr>
      <w:r>
        <w:separator/>
      </w:r>
    </w:p>
  </w:footnote>
  <w:footnote w:type="continuationSeparator" w:id="0">
    <w:p w14:paraId="0DA12B64" w14:textId="77777777" w:rsidR="004323F1" w:rsidRDefault="0043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B79F" w14:textId="2DD22C42" w:rsidR="004323F1" w:rsidRDefault="004323F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0</w:t>
    </w:r>
    <w:r>
      <w:rPr>
        <w:rStyle w:val="Oldalszm"/>
      </w:rPr>
      <w:fldChar w:fldCharType="end"/>
    </w:r>
  </w:p>
  <w:p w14:paraId="41352BAC" w14:textId="77777777" w:rsidR="004323F1" w:rsidRDefault="004323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8976" w14:textId="77777777" w:rsidR="004323F1" w:rsidRPr="00AF077B" w:rsidRDefault="004323F1" w:rsidP="004D7397">
    <w:pPr>
      <w:pStyle w:val="lfej"/>
      <w:spacing w:line="240" w:lineRule="atLeast"/>
      <w:jc w:val="center"/>
      <w:rPr>
        <w:szCs w:val="24"/>
      </w:rPr>
    </w:pPr>
    <w:r>
      <w:rPr>
        <w:noProof/>
        <w:szCs w:val="24"/>
      </w:rPr>
      <w:drawing>
        <wp:inline distT="0" distB="0" distL="0" distR="0" wp14:anchorId="27FF393D" wp14:editId="0543A25E">
          <wp:extent cx="5725160" cy="716280"/>
          <wp:effectExtent l="0" t="0" r="8890" b="7620"/>
          <wp:docPr id="1411889618" name="Kép 1411889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52E04" w14:textId="2A3D614D" w:rsidR="004323F1" w:rsidRPr="00A97EC8" w:rsidRDefault="004323F1" w:rsidP="004D7397">
    <w:pPr>
      <w:pStyle w:val="lfej"/>
      <w:spacing w:line="240" w:lineRule="atLeast"/>
      <w:jc w:val="center"/>
      <w:rPr>
        <w:smallCaps/>
        <w:w w:val="90"/>
        <w:sz w:val="28"/>
        <w:szCs w:val="28"/>
      </w:rPr>
    </w:pPr>
    <w:r w:rsidRPr="00A97EC8">
      <w:rPr>
        <w:smallCaps/>
        <w:w w:val="90"/>
        <w:sz w:val="28"/>
        <w:szCs w:val="28"/>
      </w:rPr>
      <w:t xml:space="preserve">PEST </w:t>
    </w:r>
    <w:r>
      <w:rPr>
        <w:smallCaps/>
        <w:w w:val="90"/>
        <w:sz w:val="28"/>
        <w:szCs w:val="28"/>
      </w:rPr>
      <w:t>VÁR</w:t>
    </w:r>
    <w:r w:rsidRPr="00A97EC8">
      <w:rPr>
        <w:smallCaps/>
        <w:w w:val="90"/>
        <w:sz w:val="28"/>
        <w:szCs w:val="28"/>
      </w:rPr>
      <w:t>MEGYEI KATASZTRÓFAVÉDELMI IGAZGATÓSÁG</w:t>
    </w:r>
  </w:p>
  <w:p w14:paraId="5EB49957" w14:textId="6082A899" w:rsidR="004323F1" w:rsidRPr="004D7397" w:rsidRDefault="004323F1" w:rsidP="004D7397">
    <w:pPr>
      <w:pStyle w:val="lfej"/>
      <w:spacing w:after="3960" w:line="240" w:lineRule="atLeast"/>
      <w:jc w:val="center"/>
      <w:rPr>
        <w:smallCaps/>
        <w:w w:val="90"/>
        <w:sz w:val="28"/>
        <w:szCs w:val="28"/>
      </w:rPr>
    </w:pPr>
    <w:r w:rsidRPr="00A97EC8">
      <w:rPr>
        <w:smallCaps/>
        <w:w w:val="90"/>
        <w:sz w:val="28"/>
        <w:szCs w:val="28"/>
      </w:rPr>
      <w:t>ÉRD KATASZTRÓFAVÉDELMI KIRENDELTSÉG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724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6AE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9C2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064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FC3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07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D88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C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34F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0CF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B6065"/>
    <w:multiLevelType w:val="hybridMultilevel"/>
    <w:tmpl w:val="123E3088"/>
    <w:lvl w:ilvl="0" w:tplc="28FCA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20D43"/>
    <w:multiLevelType w:val="hybridMultilevel"/>
    <w:tmpl w:val="9490CAB0"/>
    <w:lvl w:ilvl="0" w:tplc="28E64E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1E5"/>
    <w:multiLevelType w:val="hybridMultilevel"/>
    <w:tmpl w:val="69D440AA"/>
    <w:lvl w:ilvl="0" w:tplc="D0282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65EC2"/>
    <w:multiLevelType w:val="hybridMultilevel"/>
    <w:tmpl w:val="67CEA734"/>
    <w:lvl w:ilvl="0" w:tplc="F7DEC0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43E92"/>
    <w:multiLevelType w:val="hybridMultilevel"/>
    <w:tmpl w:val="5F12CDB6"/>
    <w:lvl w:ilvl="0" w:tplc="31E21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3EC4"/>
    <w:multiLevelType w:val="hybridMultilevel"/>
    <w:tmpl w:val="489E3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6DFB"/>
    <w:multiLevelType w:val="hybridMultilevel"/>
    <w:tmpl w:val="2D36FB70"/>
    <w:lvl w:ilvl="0" w:tplc="B488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BEE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83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E2F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E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10C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0A1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44A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0E4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C73197D"/>
    <w:multiLevelType w:val="hybridMultilevel"/>
    <w:tmpl w:val="7116D45A"/>
    <w:lvl w:ilvl="0" w:tplc="DCBE1A06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1DB442CE"/>
    <w:multiLevelType w:val="hybridMultilevel"/>
    <w:tmpl w:val="9A426910"/>
    <w:lvl w:ilvl="0" w:tplc="28FCA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223C5"/>
    <w:multiLevelType w:val="hybridMultilevel"/>
    <w:tmpl w:val="D8A03004"/>
    <w:lvl w:ilvl="0" w:tplc="53A6A2E0">
      <w:start w:val="2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0" w15:restartNumberingAfterBreak="0">
    <w:nsid w:val="2B8017BE"/>
    <w:multiLevelType w:val="hybridMultilevel"/>
    <w:tmpl w:val="A1105248"/>
    <w:lvl w:ilvl="0" w:tplc="27622E3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D29EE"/>
    <w:multiLevelType w:val="hybridMultilevel"/>
    <w:tmpl w:val="E4E01998"/>
    <w:lvl w:ilvl="0" w:tplc="45F676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D1EC8"/>
    <w:multiLevelType w:val="hybridMultilevel"/>
    <w:tmpl w:val="F93C1480"/>
    <w:lvl w:ilvl="0" w:tplc="1C48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D67B0"/>
    <w:multiLevelType w:val="hybridMultilevel"/>
    <w:tmpl w:val="32648F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63B57"/>
    <w:multiLevelType w:val="hybridMultilevel"/>
    <w:tmpl w:val="ABEAD040"/>
    <w:lvl w:ilvl="0" w:tplc="BC687428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5" w15:restartNumberingAfterBreak="0">
    <w:nsid w:val="61096B9F"/>
    <w:multiLevelType w:val="hybridMultilevel"/>
    <w:tmpl w:val="C75A5FBE"/>
    <w:lvl w:ilvl="0" w:tplc="26B69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D1025"/>
    <w:multiLevelType w:val="hybridMultilevel"/>
    <w:tmpl w:val="FF748FF2"/>
    <w:lvl w:ilvl="0" w:tplc="B35C822A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0134A"/>
    <w:multiLevelType w:val="hybridMultilevel"/>
    <w:tmpl w:val="34C4BC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5BB4"/>
    <w:multiLevelType w:val="hybridMultilevel"/>
    <w:tmpl w:val="C7A0E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945B1"/>
    <w:multiLevelType w:val="hybridMultilevel"/>
    <w:tmpl w:val="1EEA72B2"/>
    <w:lvl w:ilvl="0" w:tplc="9F064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29"/>
  </w:num>
  <w:num w:numId="5">
    <w:abstractNumId w:val="27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23"/>
  </w:num>
  <w:num w:numId="19">
    <w:abstractNumId w:val="13"/>
  </w:num>
  <w:num w:numId="20">
    <w:abstractNumId w:val="24"/>
  </w:num>
  <w:num w:numId="21">
    <w:abstractNumId w:val="19"/>
  </w:num>
  <w:num w:numId="22">
    <w:abstractNumId w:val="25"/>
  </w:num>
  <w:num w:numId="23">
    <w:abstractNumId w:val="21"/>
  </w:num>
  <w:num w:numId="24">
    <w:abstractNumId w:val="17"/>
  </w:num>
  <w:num w:numId="25">
    <w:abstractNumId w:val="26"/>
  </w:num>
  <w:num w:numId="26">
    <w:abstractNumId w:val="28"/>
  </w:num>
  <w:num w:numId="27">
    <w:abstractNumId w:val="15"/>
  </w:num>
  <w:num w:numId="28">
    <w:abstractNumId w:val="20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6"/>
    <w:rsid w:val="000005B8"/>
    <w:rsid w:val="000008FF"/>
    <w:rsid w:val="0000095C"/>
    <w:rsid w:val="000010E7"/>
    <w:rsid w:val="00002522"/>
    <w:rsid w:val="000029B0"/>
    <w:rsid w:val="00004E13"/>
    <w:rsid w:val="00004E9C"/>
    <w:rsid w:val="000068AF"/>
    <w:rsid w:val="00007407"/>
    <w:rsid w:val="00010346"/>
    <w:rsid w:val="0001202F"/>
    <w:rsid w:val="00013054"/>
    <w:rsid w:val="00014924"/>
    <w:rsid w:val="000155CA"/>
    <w:rsid w:val="00017C74"/>
    <w:rsid w:val="00021218"/>
    <w:rsid w:val="000219D1"/>
    <w:rsid w:val="00021D1D"/>
    <w:rsid w:val="00022E84"/>
    <w:rsid w:val="000233BC"/>
    <w:rsid w:val="00024240"/>
    <w:rsid w:val="00025BD8"/>
    <w:rsid w:val="00025E43"/>
    <w:rsid w:val="0002747C"/>
    <w:rsid w:val="00027E7B"/>
    <w:rsid w:val="00027EB3"/>
    <w:rsid w:val="00030F12"/>
    <w:rsid w:val="00031452"/>
    <w:rsid w:val="0003179F"/>
    <w:rsid w:val="00032028"/>
    <w:rsid w:val="00032EE7"/>
    <w:rsid w:val="0003329B"/>
    <w:rsid w:val="00033986"/>
    <w:rsid w:val="000339BE"/>
    <w:rsid w:val="00033D4C"/>
    <w:rsid w:val="000356AE"/>
    <w:rsid w:val="00035788"/>
    <w:rsid w:val="00035AF6"/>
    <w:rsid w:val="00041781"/>
    <w:rsid w:val="000437D4"/>
    <w:rsid w:val="00043918"/>
    <w:rsid w:val="00043A9D"/>
    <w:rsid w:val="00044AAF"/>
    <w:rsid w:val="00044BAD"/>
    <w:rsid w:val="000453F3"/>
    <w:rsid w:val="000502D6"/>
    <w:rsid w:val="00051A53"/>
    <w:rsid w:val="00052AF8"/>
    <w:rsid w:val="00054957"/>
    <w:rsid w:val="0005740D"/>
    <w:rsid w:val="000600F5"/>
    <w:rsid w:val="000608C9"/>
    <w:rsid w:val="00061AD0"/>
    <w:rsid w:val="00062ABF"/>
    <w:rsid w:val="000665E0"/>
    <w:rsid w:val="00070302"/>
    <w:rsid w:val="00070A94"/>
    <w:rsid w:val="00071762"/>
    <w:rsid w:val="00072C3E"/>
    <w:rsid w:val="000766BF"/>
    <w:rsid w:val="000814B5"/>
    <w:rsid w:val="0008188E"/>
    <w:rsid w:val="00082747"/>
    <w:rsid w:val="00082F30"/>
    <w:rsid w:val="00083012"/>
    <w:rsid w:val="00083DB4"/>
    <w:rsid w:val="0008618F"/>
    <w:rsid w:val="00090A0E"/>
    <w:rsid w:val="00090DF4"/>
    <w:rsid w:val="0009317A"/>
    <w:rsid w:val="000931E7"/>
    <w:rsid w:val="0009334F"/>
    <w:rsid w:val="00093546"/>
    <w:rsid w:val="00093A22"/>
    <w:rsid w:val="0009537D"/>
    <w:rsid w:val="000965D9"/>
    <w:rsid w:val="000969A2"/>
    <w:rsid w:val="000A2F89"/>
    <w:rsid w:val="000A34DA"/>
    <w:rsid w:val="000A3D52"/>
    <w:rsid w:val="000A5D43"/>
    <w:rsid w:val="000A6DEC"/>
    <w:rsid w:val="000B228E"/>
    <w:rsid w:val="000B2FE9"/>
    <w:rsid w:val="000B4672"/>
    <w:rsid w:val="000B5F0F"/>
    <w:rsid w:val="000B6459"/>
    <w:rsid w:val="000B672E"/>
    <w:rsid w:val="000C0568"/>
    <w:rsid w:val="000C11C1"/>
    <w:rsid w:val="000C4891"/>
    <w:rsid w:val="000C4D5B"/>
    <w:rsid w:val="000C73E4"/>
    <w:rsid w:val="000D0A6A"/>
    <w:rsid w:val="000D1D5C"/>
    <w:rsid w:val="000D2656"/>
    <w:rsid w:val="000D2F3E"/>
    <w:rsid w:val="000D456C"/>
    <w:rsid w:val="000D4D03"/>
    <w:rsid w:val="000D6825"/>
    <w:rsid w:val="000D71F8"/>
    <w:rsid w:val="000E175D"/>
    <w:rsid w:val="000E1E16"/>
    <w:rsid w:val="000E253E"/>
    <w:rsid w:val="000E38B8"/>
    <w:rsid w:val="000F0053"/>
    <w:rsid w:val="000F04D5"/>
    <w:rsid w:val="000F06C5"/>
    <w:rsid w:val="000F0B13"/>
    <w:rsid w:val="000F2021"/>
    <w:rsid w:val="000F24A3"/>
    <w:rsid w:val="000F44F3"/>
    <w:rsid w:val="000F5081"/>
    <w:rsid w:val="000F5F8E"/>
    <w:rsid w:val="000F61D6"/>
    <w:rsid w:val="000F6646"/>
    <w:rsid w:val="000F6EE2"/>
    <w:rsid w:val="001043A7"/>
    <w:rsid w:val="00105FAC"/>
    <w:rsid w:val="00107BC4"/>
    <w:rsid w:val="00110227"/>
    <w:rsid w:val="00110854"/>
    <w:rsid w:val="00113090"/>
    <w:rsid w:val="001135BF"/>
    <w:rsid w:val="00113F1C"/>
    <w:rsid w:val="00114A2C"/>
    <w:rsid w:val="0011517C"/>
    <w:rsid w:val="0012200F"/>
    <w:rsid w:val="00122632"/>
    <w:rsid w:val="00123BCB"/>
    <w:rsid w:val="00125BB8"/>
    <w:rsid w:val="001268C4"/>
    <w:rsid w:val="00126E5B"/>
    <w:rsid w:val="0013211D"/>
    <w:rsid w:val="00135529"/>
    <w:rsid w:val="00140591"/>
    <w:rsid w:val="00143543"/>
    <w:rsid w:val="0014483B"/>
    <w:rsid w:val="00145038"/>
    <w:rsid w:val="00146387"/>
    <w:rsid w:val="001473E7"/>
    <w:rsid w:val="001476B9"/>
    <w:rsid w:val="00147EBC"/>
    <w:rsid w:val="00151B0B"/>
    <w:rsid w:val="00152823"/>
    <w:rsid w:val="0015341A"/>
    <w:rsid w:val="0015468B"/>
    <w:rsid w:val="00154ECD"/>
    <w:rsid w:val="00155587"/>
    <w:rsid w:val="001562C0"/>
    <w:rsid w:val="00156F82"/>
    <w:rsid w:val="00157CAD"/>
    <w:rsid w:val="00160969"/>
    <w:rsid w:val="0016194C"/>
    <w:rsid w:val="00161AA9"/>
    <w:rsid w:val="0016338E"/>
    <w:rsid w:val="001643D2"/>
    <w:rsid w:val="00165B68"/>
    <w:rsid w:val="00166D5C"/>
    <w:rsid w:val="00170D94"/>
    <w:rsid w:val="00173033"/>
    <w:rsid w:val="001737C5"/>
    <w:rsid w:val="00175F7F"/>
    <w:rsid w:val="00176F32"/>
    <w:rsid w:val="0017711D"/>
    <w:rsid w:val="0017757F"/>
    <w:rsid w:val="00181A3C"/>
    <w:rsid w:val="001824A6"/>
    <w:rsid w:val="001830C4"/>
    <w:rsid w:val="00183508"/>
    <w:rsid w:val="00183783"/>
    <w:rsid w:val="00183AE8"/>
    <w:rsid w:val="00185D99"/>
    <w:rsid w:val="001861B1"/>
    <w:rsid w:val="00186C2A"/>
    <w:rsid w:val="00187F71"/>
    <w:rsid w:val="00191112"/>
    <w:rsid w:val="001912CA"/>
    <w:rsid w:val="0019176D"/>
    <w:rsid w:val="001932B3"/>
    <w:rsid w:val="001945EC"/>
    <w:rsid w:val="00195358"/>
    <w:rsid w:val="00195E18"/>
    <w:rsid w:val="0019799F"/>
    <w:rsid w:val="001979A6"/>
    <w:rsid w:val="001A1AC5"/>
    <w:rsid w:val="001A21AC"/>
    <w:rsid w:val="001A22BB"/>
    <w:rsid w:val="001A4C8D"/>
    <w:rsid w:val="001A5B32"/>
    <w:rsid w:val="001A6134"/>
    <w:rsid w:val="001A6502"/>
    <w:rsid w:val="001A662F"/>
    <w:rsid w:val="001A71FB"/>
    <w:rsid w:val="001A7E1C"/>
    <w:rsid w:val="001B1207"/>
    <w:rsid w:val="001B3121"/>
    <w:rsid w:val="001B3EEF"/>
    <w:rsid w:val="001B5E51"/>
    <w:rsid w:val="001B6BFE"/>
    <w:rsid w:val="001B6C8C"/>
    <w:rsid w:val="001B6F69"/>
    <w:rsid w:val="001B7988"/>
    <w:rsid w:val="001B7F99"/>
    <w:rsid w:val="001C025E"/>
    <w:rsid w:val="001C20C4"/>
    <w:rsid w:val="001C505F"/>
    <w:rsid w:val="001C61AD"/>
    <w:rsid w:val="001C65B1"/>
    <w:rsid w:val="001D0C19"/>
    <w:rsid w:val="001D1705"/>
    <w:rsid w:val="001D1CDD"/>
    <w:rsid w:val="001D3FDE"/>
    <w:rsid w:val="001D474B"/>
    <w:rsid w:val="001D5B57"/>
    <w:rsid w:val="001D62FA"/>
    <w:rsid w:val="001E066D"/>
    <w:rsid w:val="001E0898"/>
    <w:rsid w:val="001E0E23"/>
    <w:rsid w:val="001E3495"/>
    <w:rsid w:val="001E623D"/>
    <w:rsid w:val="001E698A"/>
    <w:rsid w:val="001E79B9"/>
    <w:rsid w:val="001E7AC2"/>
    <w:rsid w:val="001E7BCF"/>
    <w:rsid w:val="001F0080"/>
    <w:rsid w:val="001F29F7"/>
    <w:rsid w:val="001F36F2"/>
    <w:rsid w:val="001F4E8D"/>
    <w:rsid w:val="001F5C1C"/>
    <w:rsid w:val="001F6B34"/>
    <w:rsid w:val="0020105A"/>
    <w:rsid w:val="002019C0"/>
    <w:rsid w:val="00202AD6"/>
    <w:rsid w:val="00203E6E"/>
    <w:rsid w:val="00204149"/>
    <w:rsid w:val="00205467"/>
    <w:rsid w:val="00206158"/>
    <w:rsid w:val="00215A8D"/>
    <w:rsid w:val="002172E7"/>
    <w:rsid w:val="002174A4"/>
    <w:rsid w:val="002238C2"/>
    <w:rsid w:val="00223FA1"/>
    <w:rsid w:val="0022434B"/>
    <w:rsid w:val="00225ED1"/>
    <w:rsid w:val="00227CA9"/>
    <w:rsid w:val="00231D7A"/>
    <w:rsid w:val="00231F4E"/>
    <w:rsid w:val="002320D1"/>
    <w:rsid w:val="00232A56"/>
    <w:rsid w:val="0023530D"/>
    <w:rsid w:val="00235806"/>
    <w:rsid w:val="00235FC9"/>
    <w:rsid w:val="0024010D"/>
    <w:rsid w:val="0024236E"/>
    <w:rsid w:val="002444E2"/>
    <w:rsid w:val="0024471D"/>
    <w:rsid w:val="0024531D"/>
    <w:rsid w:val="0024570A"/>
    <w:rsid w:val="0024584B"/>
    <w:rsid w:val="00251379"/>
    <w:rsid w:val="002513FF"/>
    <w:rsid w:val="00252707"/>
    <w:rsid w:val="00253256"/>
    <w:rsid w:val="00253F0F"/>
    <w:rsid w:val="002547BC"/>
    <w:rsid w:val="002571A0"/>
    <w:rsid w:val="00260BA3"/>
    <w:rsid w:val="00261CDB"/>
    <w:rsid w:val="00262F81"/>
    <w:rsid w:val="002639C0"/>
    <w:rsid w:val="002660EA"/>
    <w:rsid w:val="00266C2F"/>
    <w:rsid w:val="00266D7D"/>
    <w:rsid w:val="00267E3A"/>
    <w:rsid w:val="00267FE9"/>
    <w:rsid w:val="00274C95"/>
    <w:rsid w:val="00275322"/>
    <w:rsid w:val="002761E8"/>
    <w:rsid w:val="00282127"/>
    <w:rsid w:val="00283315"/>
    <w:rsid w:val="00285F81"/>
    <w:rsid w:val="002913F5"/>
    <w:rsid w:val="00292D21"/>
    <w:rsid w:val="002A0F26"/>
    <w:rsid w:val="002A205B"/>
    <w:rsid w:val="002A3285"/>
    <w:rsid w:val="002A374C"/>
    <w:rsid w:val="002A3AAC"/>
    <w:rsid w:val="002A4AB4"/>
    <w:rsid w:val="002A7D02"/>
    <w:rsid w:val="002B0C9A"/>
    <w:rsid w:val="002B11D8"/>
    <w:rsid w:val="002B20F8"/>
    <w:rsid w:val="002B5080"/>
    <w:rsid w:val="002B6165"/>
    <w:rsid w:val="002C0A17"/>
    <w:rsid w:val="002C0ED5"/>
    <w:rsid w:val="002C448C"/>
    <w:rsid w:val="002C6105"/>
    <w:rsid w:val="002C69B2"/>
    <w:rsid w:val="002D26CC"/>
    <w:rsid w:val="002D390A"/>
    <w:rsid w:val="002D5E50"/>
    <w:rsid w:val="002D5E8F"/>
    <w:rsid w:val="002D61D8"/>
    <w:rsid w:val="002D7135"/>
    <w:rsid w:val="002D76E5"/>
    <w:rsid w:val="002D7CCD"/>
    <w:rsid w:val="002D7D53"/>
    <w:rsid w:val="002E1702"/>
    <w:rsid w:val="002E1804"/>
    <w:rsid w:val="002E2441"/>
    <w:rsid w:val="002E29A9"/>
    <w:rsid w:val="002E5FE7"/>
    <w:rsid w:val="002E751A"/>
    <w:rsid w:val="002E7A41"/>
    <w:rsid w:val="002F2490"/>
    <w:rsid w:val="002F2E4F"/>
    <w:rsid w:val="002F32A2"/>
    <w:rsid w:val="002F46FB"/>
    <w:rsid w:val="002F5747"/>
    <w:rsid w:val="00302705"/>
    <w:rsid w:val="0030294A"/>
    <w:rsid w:val="00304070"/>
    <w:rsid w:val="00304304"/>
    <w:rsid w:val="00304D3B"/>
    <w:rsid w:val="00306E55"/>
    <w:rsid w:val="003139B3"/>
    <w:rsid w:val="003141FC"/>
    <w:rsid w:val="00314867"/>
    <w:rsid w:val="00316A26"/>
    <w:rsid w:val="00316EEC"/>
    <w:rsid w:val="003205BB"/>
    <w:rsid w:val="00323A51"/>
    <w:rsid w:val="00323BB6"/>
    <w:rsid w:val="0032459C"/>
    <w:rsid w:val="003256F8"/>
    <w:rsid w:val="00325D17"/>
    <w:rsid w:val="003260E9"/>
    <w:rsid w:val="003262BC"/>
    <w:rsid w:val="00326FEF"/>
    <w:rsid w:val="00332060"/>
    <w:rsid w:val="00333A02"/>
    <w:rsid w:val="003348D0"/>
    <w:rsid w:val="00337808"/>
    <w:rsid w:val="00342E25"/>
    <w:rsid w:val="0034448E"/>
    <w:rsid w:val="00344A7B"/>
    <w:rsid w:val="00345E62"/>
    <w:rsid w:val="00345F91"/>
    <w:rsid w:val="00346013"/>
    <w:rsid w:val="00346537"/>
    <w:rsid w:val="00347140"/>
    <w:rsid w:val="0035096A"/>
    <w:rsid w:val="0035145A"/>
    <w:rsid w:val="00352A22"/>
    <w:rsid w:val="0035415D"/>
    <w:rsid w:val="00354407"/>
    <w:rsid w:val="003558DA"/>
    <w:rsid w:val="00355D47"/>
    <w:rsid w:val="003560A8"/>
    <w:rsid w:val="0035696C"/>
    <w:rsid w:val="00356BE8"/>
    <w:rsid w:val="0036385E"/>
    <w:rsid w:val="00363AA8"/>
    <w:rsid w:val="0036536C"/>
    <w:rsid w:val="00365B14"/>
    <w:rsid w:val="003709D7"/>
    <w:rsid w:val="0037277D"/>
    <w:rsid w:val="003731DA"/>
    <w:rsid w:val="00375BF8"/>
    <w:rsid w:val="00376228"/>
    <w:rsid w:val="00376F47"/>
    <w:rsid w:val="003816FC"/>
    <w:rsid w:val="003828B5"/>
    <w:rsid w:val="003835C5"/>
    <w:rsid w:val="00383C11"/>
    <w:rsid w:val="0038459C"/>
    <w:rsid w:val="00385163"/>
    <w:rsid w:val="00385C7C"/>
    <w:rsid w:val="003875F4"/>
    <w:rsid w:val="00387B1B"/>
    <w:rsid w:val="003905C2"/>
    <w:rsid w:val="00391418"/>
    <w:rsid w:val="00393642"/>
    <w:rsid w:val="00394A7B"/>
    <w:rsid w:val="003A21FB"/>
    <w:rsid w:val="003A655F"/>
    <w:rsid w:val="003A6700"/>
    <w:rsid w:val="003A6BBE"/>
    <w:rsid w:val="003B045A"/>
    <w:rsid w:val="003B09DE"/>
    <w:rsid w:val="003B2655"/>
    <w:rsid w:val="003B3172"/>
    <w:rsid w:val="003B38DB"/>
    <w:rsid w:val="003B4D0D"/>
    <w:rsid w:val="003B5A62"/>
    <w:rsid w:val="003B5BF5"/>
    <w:rsid w:val="003B64DB"/>
    <w:rsid w:val="003B659B"/>
    <w:rsid w:val="003B762D"/>
    <w:rsid w:val="003B77F9"/>
    <w:rsid w:val="003C00EE"/>
    <w:rsid w:val="003C0709"/>
    <w:rsid w:val="003C2B18"/>
    <w:rsid w:val="003C2F48"/>
    <w:rsid w:val="003C45B0"/>
    <w:rsid w:val="003C4777"/>
    <w:rsid w:val="003C6348"/>
    <w:rsid w:val="003C643E"/>
    <w:rsid w:val="003C7ABD"/>
    <w:rsid w:val="003D4C42"/>
    <w:rsid w:val="003D5158"/>
    <w:rsid w:val="003D611A"/>
    <w:rsid w:val="003D62BB"/>
    <w:rsid w:val="003D6A2F"/>
    <w:rsid w:val="003D790C"/>
    <w:rsid w:val="003E1395"/>
    <w:rsid w:val="003E4191"/>
    <w:rsid w:val="003E5901"/>
    <w:rsid w:val="003E7F41"/>
    <w:rsid w:val="003F5B05"/>
    <w:rsid w:val="003F5D27"/>
    <w:rsid w:val="003F62A5"/>
    <w:rsid w:val="00400E81"/>
    <w:rsid w:val="0040157D"/>
    <w:rsid w:val="004025AB"/>
    <w:rsid w:val="00403C61"/>
    <w:rsid w:val="00404501"/>
    <w:rsid w:val="00404AEF"/>
    <w:rsid w:val="004055D0"/>
    <w:rsid w:val="00407E9B"/>
    <w:rsid w:val="00411484"/>
    <w:rsid w:val="0041466D"/>
    <w:rsid w:val="00414F5D"/>
    <w:rsid w:val="004161CB"/>
    <w:rsid w:val="004176A1"/>
    <w:rsid w:val="00417B00"/>
    <w:rsid w:val="00423EFA"/>
    <w:rsid w:val="00426678"/>
    <w:rsid w:val="00426B2D"/>
    <w:rsid w:val="004302CE"/>
    <w:rsid w:val="004323F1"/>
    <w:rsid w:val="0043246F"/>
    <w:rsid w:val="00433BAD"/>
    <w:rsid w:val="00433DC2"/>
    <w:rsid w:val="0043455B"/>
    <w:rsid w:val="00435A96"/>
    <w:rsid w:val="0044168C"/>
    <w:rsid w:val="00441C42"/>
    <w:rsid w:val="00442FAF"/>
    <w:rsid w:val="00452A61"/>
    <w:rsid w:val="0045358E"/>
    <w:rsid w:val="0045676F"/>
    <w:rsid w:val="00457992"/>
    <w:rsid w:val="00464DA3"/>
    <w:rsid w:val="004657FB"/>
    <w:rsid w:val="00466C9D"/>
    <w:rsid w:val="0046732D"/>
    <w:rsid w:val="00471D17"/>
    <w:rsid w:val="004722C9"/>
    <w:rsid w:val="004748FA"/>
    <w:rsid w:val="00475215"/>
    <w:rsid w:val="00475832"/>
    <w:rsid w:val="004765D6"/>
    <w:rsid w:val="00477233"/>
    <w:rsid w:val="0048278F"/>
    <w:rsid w:val="004834A9"/>
    <w:rsid w:val="00483564"/>
    <w:rsid w:val="00483583"/>
    <w:rsid w:val="00484CB9"/>
    <w:rsid w:val="00484DD2"/>
    <w:rsid w:val="004854E7"/>
    <w:rsid w:val="00486EE0"/>
    <w:rsid w:val="00487E33"/>
    <w:rsid w:val="004912CF"/>
    <w:rsid w:val="0049300A"/>
    <w:rsid w:val="00494220"/>
    <w:rsid w:val="0049684D"/>
    <w:rsid w:val="004970CF"/>
    <w:rsid w:val="004A18EB"/>
    <w:rsid w:val="004A19A7"/>
    <w:rsid w:val="004A38AA"/>
    <w:rsid w:val="004A7793"/>
    <w:rsid w:val="004B448A"/>
    <w:rsid w:val="004B6578"/>
    <w:rsid w:val="004B68C4"/>
    <w:rsid w:val="004B7746"/>
    <w:rsid w:val="004C04F9"/>
    <w:rsid w:val="004C0B0A"/>
    <w:rsid w:val="004C3004"/>
    <w:rsid w:val="004C3837"/>
    <w:rsid w:val="004C6E44"/>
    <w:rsid w:val="004C6E8C"/>
    <w:rsid w:val="004C7BB5"/>
    <w:rsid w:val="004C7F36"/>
    <w:rsid w:val="004D168B"/>
    <w:rsid w:val="004D1C53"/>
    <w:rsid w:val="004D2DC7"/>
    <w:rsid w:val="004D3328"/>
    <w:rsid w:val="004D338E"/>
    <w:rsid w:val="004D446C"/>
    <w:rsid w:val="004D44B9"/>
    <w:rsid w:val="004D4999"/>
    <w:rsid w:val="004D5C9B"/>
    <w:rsid w:val="004D69B7"/>
    <w:rsid w:val="004D6F38"/>
    <w:rsid w:val="004D7397"/>
    <w:rsid w:val="004D7C36"/>
    <w:rsid w:val="004D7FA2"/>
    <w:rsid w:val="004E1544"/>
    <w:rsid w:val="004E202F"/>
    <w:rsid w:val="004E3718"/>
    <w:rsid w:val="004E38FA"/>
    <w:rsid w:val="004E3C71"/>
    <w:rsid w:val="004E4CF5"/>
    <w:rsid w:val="004E5963"/>
    <w:rsid w:val="004F080C"/>
    <w:rsid w:val="004F0C4B"/>
    <w:rsid w:val="004F541C"/>
    <w:rsid w:val="004F62CA"/>
    <w:rsid w:val="004F6332"/>
    <w:rsid w:val="004F65F8"/>
    <w:rsid w:val="004F73D5"/>
    <w:rsid w:val="004F73E5"/>
    <w:rsid w:val="004F7CD5"/>
    <w:rsid w:val="005020B0"/>
    <w:rsid w:val="005025B0"/>
    <w:rsid w:val="005031A2"/>
    <w:rsid w:val="00503EBE"/>
    <w:rsid w:val="00505A79"/>
    <w:rsid w:val="005064C1"/>
    <w:rsid w:val="00512083"/>
    <w:rsid w:val="005126D5"/>
    <w:rsid w:val="005134E6"/>
    <w:rsid w:val="00514547"/>
    <w:rsid w:val="00515DF3"/>
    <w:rsid w:val="00517E64"/>
    <w:rsid w:val="00520CF1"/>
    <w:rsid w:val="00524632"/>
    <w:rsid w:val="005256A6"/>
    <w:rsid w:val="0052706E"/>
    <w:rsid w:val="00530CDD"/>
    <w:rsid w:val="00532B53"/>
    <w:rsid w:val="005340CA"/>
    <w:rsid w:val="0053465B"/>
    <w:rsid w:val="0053466C"/>
    <w:rsid w:val="00535922"/>
    <w:rsid w:val="00541A14"/>
    <w:rsid w:val="00543F99"/>
    <w:rsid w:val="00544B5B"/>
    <w:rsid w:val="0054628F"/>
    <w:rsid w:val="00546BEE"/>
    <w:rsid w:val="00546DC5"/>
    <w:rsid w:val="00551F9B"/>
    <w:rsid w:val="00553671"/>
    <w:rsid w:val="005539F3"/>
    <w:rsid w:val="0055610F"/>
    <w:rsid w:val="005565B7"/>
    <w:rsid w:val="005573FF"/>
    <w:rsid w:val="005616A2"/>
    <w:rsid w:val="00563409"/>
    <w:rsid w:val="005637B3"/>
    <w:rsid w:val="00564361"/>
    <w:rsid w:val="00564C82"/>
    <w:rsid w:val="00564E37"/>
    <w:rsid w:val="005654ED"/>
    <w:rsid w:val="00565542"/>
    <w:rsid w:val="00565C4D"/>
    <w:rsid w:val="00570479"/>
    <w:rsid w:val="00571291"/>
    <w:rsid w:val="005718DE"/>
    <w:rsid w:val="005770BF"/>
    <w:rsid w:val="00577240"/>
    <w:rsid w:val="005800CC"/>
    <w:rsid w:val="00584012"/>
    <w:rsid w:val="00584123"/>
    <w:rsid w:val="00584402"/>
    <w:rsid w:val="0058446D"/>
    <w:rsid w:val="00586063"/>
    <w:rsid w:val="00586070"/>
    <w:rsid w:val="00586154"/>
    <w:rsid w:val="00586BB2"/>
    <w:rsid w:val="00587429"/>
    <w:rsid w:val="0058768A"/>
    <w:rsid w:val="00592BD7"/>
    <w:rsid w:val="005949FC"/>
    <w:rsid w:val="00595EF4"/>
    <w:rsid w:val="005A0F4E"/>
    <w:rsid w:val="005A1554"/>
    <w:rsid w:val="005A63F8"/>
    <w:rsid w:val="005A693E"/>
    <w:rsid w:val="005A7079"/>
    <w:rsid w:val="005B281B"/>
    <w:rsid w:val="005B2A44"/>
    <w:rsid w:val="005B2F7D"/>
    <w:rsid w:val="005B5A97"/>
    <w:rsid w:val="005B5F4C"/>
    <w:rsid w:val="005B7145"/>
    <w:rsid w:val="005C025A"/>
    <w:rsid w:val="005C150D"/>
    <w:rsid w:val="005C19CD"/>
    <w:rsid w:val="005C3434"/>
    <w:rsid w:val="005C3B91"/>
    <w:rsid w:val="005C3C52"/>
    <w:rsid w:val="005C7713"/>
    <w:rsid w:val="005D1B07"/>
    <w:rsid w:val="005D23D2"/>
    <w:rsid w:val="005D2B55"/>
    <w:rsid w:val="005D33DF"/>
    <w:rsid w:val="005D342A"/>
    <w:rsid w:val="005D3753"/>
    <w:rsid w:val="005D4A5E"/>
    <w:rsid w:val="005D6534"/>
    <w:rsid w:val="005E0D0C"/>
    <w:rsid w:val="005E1845"/>
    <w:rsid w:val="005E272F"/>
    <w:rsid w:val="005E2E66"/>
    <w:rsid w:val="005E5D9A"/>
    <w:rsid w:val="005E70E4"/>
    <w:rsid w:val="005E72B1"/>
    <w:rsid w:val="005F02B7"/>
    <w:rsid w:val="005F46AA"/>
    <w:rsid w:val="005F4745"/>
    <w:rsid w:val="005F572D"/>
    <w:rsid w:val="005F5EB7"/>
    <w:rsid w:val="005F693E"/>
    <w:rsid w:val="006010E8"/>
    <w:rsid w:val="0060285C"/>
    <w:rsid w:val="00604FFA"/>
    <w:rsid w:val="00605880"/>
    <w:rsid w:val="00607381"/>
    <w:rsid w:val="006073B3"/>
    <w:rsid w:val="00607FF7"/>
    <w:rsid w:val="00610016"/>
    <w:rsid w:val="0061390E"/>
    <w:rsid w:val="00613C08"/>
    <w:rsid w:val="006148DD"/>
    <w:rsid w:val="00616C3B"/>
    <w:rsid w:val="00620441"/>
    <w:rsid w:val="00620D3C"/>
    <w:rsid w:val="0062426A"/>
    <w:rsid w:val="00625C11"/>
    <w:rsid w:val="006261CD"/>
    <w:rsid w:val="00626307"/>
    <w:rsid w:val="00626829"/>
    <w:rsid w:val="00626C28"/>
    <w:rsid w:val="00626E12"/>
    <w:rsid w:val="006305E8"/>
    <w:rsid w:val="00633AB8"/>
    <w:rsid w:val="0063408F"/>
    <w:rsid w:val="00634C12"/>
    <w:rsid w:val="006356E8"/>
    <w:rsid w:val="00635B18"/>
    <w:rsid w:val="00635B53"/>
    <w:rsid w:val="00637B51"/>
    <w:rsid w:val="00640BAF"/>
    <w:rsid w:val="006417F2"/>
    <w:rsid w:val="00641E46"/>
    <w:rsid w:val="00642610"/>
    <w:rsid w:val="006426DD"/>
    <w:rsid w:val="006436E3"/>
    <w:rsid w:val="00645C38"/>
    <w:rsid w:val="006462B1"/>
    <w:rsid w:val="0064645B"/>
    <w:rsid w:val="006474EF"/>
    <w:rsid w:val="00647614"/>
    <w:rsid w:val="00647C2A"/>
    <w:rsid w:val="00651B84"/>
    <w:rsid w:val="00653BE8"/>
    <w:rsid w:val="0065550C"/>
    <w:rsid w:val="00655AAA"/>
    <w:rsid w:val="00657595"/>
    <w:rsid w:val="00660A50"/>
    <w:rsid w:val="006635E2"/>
    <w:rsid w:val="00663B21"/>
    <w:rsid w:val="00663C78"/>
    <w:rsid w:val="00664D73"/>
    <w:rsid w:val="00666792"/>
    <w:rsid w:val="006673C0"/>
    <w:rsid w:val="0066788C"/>
    <w:rsid w:val="00670C8C"/>
    <w:rsid w:val="0067208B"/>
    <w:rsid w:val="006737DC"/>
    <w:rsid w:val="00675B01"/>
    <w:rsid w:val="00680F9B"/>
    <w:rsid w:val="00681BEC"/>
    <w:rsid w:val="00683280"/>
    <w:rsid w:val="00684C58"/>
    <w:rsid w:val="00685B46"/>
    <w:rsid w:val="00685E00"/>
    <w:rsid w:val="006866B3"/>
    <w:rsid w:val="006877F2"/>
    <w:rsid w:val="006916C3"/>
    <w:rsid w:val="00692DE0"/>
    <w:rsid w:val="0069522E"/>
    <w:rsid w:val="006A00E0"/>
    <w:rsid w:val="006A0E40"/>
    <w:rsid w:val="006A1045"/>
    <w:rsid w:val="006A1B84"/>
    <w:rsid w:val="006A20D2"/>
    <w:rsid w:val="006A251E"/>
    <w:rsid w:val="006A2893"/>
    <w:rsid w:val="006A40FA"/>
    <w:rsid w:val="006A4227"/>
    <w:rsid w:val="006B002D"/>
    <w:rsid w:val="006B1638"/>
    <w:rsid w:val="006B17DB"/>
    <w:rsid w:val="006B3161"/>
    <w:rsid w:val="006B3229"/>
    <w:rsid w:val="006B3962"/>
    <w:rsid w:val="006B3F5E"/>
    <w:rsid w:val="006B5600"/>
    <w:rsid w:val="006B6DD0"/>
    <w:rsid w:val="006B7908"/>
    <w:rsid w:val="006C2799"/>
    <w:rsid w:val="006C3032"/>
    <w:rsid w:val="006C3AF5"/>
    <w:rsid w:val="006C5278"/>
    <w:rsid w:val="006C583A"/>
    <w:rsid w:val="006C780C"/>
    <w:rsid w:val="006C7A0B"/>
    <w:rsid w:val="006D1138"/>
    <w:rsid w:val="006D1AE8"/>
    <w:rsid w:val="006D2704"/>
    <w:rsid w:val="006D2918"/>
    <w:rsid w:val="006D45DD"/>
    <w:rsid w:val="006D54D5"/>
    <w:rsid w:val="006D57E4"/>
    <w:rsid w:val="006D6E35"/>
    <w:rsid w:val="006E0A8F"/>
    <w:rsid w:val="006E1139"/>
    <w:rsid w:val="006E26C4"/>
    <w:rsid w:val="006E32EB"/>
    <w:rsid w:val="006E48E9"/>
    <w:rsid w:val="006E7C24"/>
    <w:rsid w:val="006F15D3"/>
    <w:rsid w:val="006F1DC7"/>
    <w:rsid w:val="006F5365"/>
    <w:rsid w:val="006F654B"/>
    <w:rsid w:val="006F6988"/>
    <w:rsid w:val="006F6EB0"/>
    <w:rsid w:val="006F70FD"/>
    <w:rsid w:val="006F75B8"/>
    <w:rsid w:val="006F773A"/>
    <w:rsid w:val="006F789E"/>
    <w:rsid w:val="0070364B"/>
    <w:rsid w:val="007037C1"/>
    <w:rsid w:val="00704286"/>
    <w:rsid w:val="00704B4C"/>
    <w:rsid w:val="007056B8"/>
    <w:rsid w:val="00706FD9"/>
    <w:rsid w:val="007071B5"/>
    <w:rsid w:val="00707689"/>
    <w:rsid w:val="00710344"/>
    <w:rsid w:val="00710C6F"/>
    <w:rsid w:val="00710F5E"/>
    <w:rsid w:val="00712BCA"/>
    <w:rsid w:val="00713095"/>
    <w:rsid w:val="00715666"/>
    <w:rsid w:val="007176CA"/>
    <w:rsid w:val="00717B7A"/>
    <w:rsid w:val="007204B5"/>
    <w:rsid w:val="007213A4"/>
    <w:rsid w:val="00721E04"/>
    <w:rsid w:val="00722935"/>
    <w:rsid w:val="00722B57"/>
    <w:rsid w:val="0072330F"/>
    <w:rsid w:val="0072415F"/>
    <w:rsid w:val="00725CBD"/>
    <w:rsid w:val="00725D20"/>
    <w:rsid w:val="007262CC"/>
    <w:rsid w:val="00726943"/>
    <w:rsid w:val="00730625"/>
    <w:rsid w:val="00730682"/>
    <w:rsid w:val="007325AD"/>
    <w:rsid w:val="007335F8"/>
    <w:rsid w:val="00733B16"/>
    <w:rsid w:val="00735BB6"/>
    <w:rsid w:val="0073615E"/>
    <w:rsid w:val="00741753"/>
    <w:rsid w:val="00741E5D"/>
    <w:rsid w:val="0074283A"/>
    <w:rsid w:val="00743EB1"/>
    <w:rsid w:val="00746C6D"/>
    <w:rsid w:val="0075030A"/>
    <w:rsid w:val="00751BE4"/>
    <w:rsid w:val="0075341A"/>
    <w:rsid w:val="0075503A"/>
    <w:rsid w:val="0075583E"/>
    <w:rsid w:val="00757CDE"/>
    <w:rsid w:val="00764506"/>
    <w:rsid w:val="00765D5C"/>
    <w:rsid w:val="00770E4D"/>
    <w:rsid w:val="0077155B"/>
    <w:rsid w:val="007718F6"/>
    <w:rsid w:val="00772B65"/>
    <w:rsid w:val="00772CB1"/>
    <w:rsid w:val="00775A9F"/>
    <w:rsid w:val="00776096"/>
    <w:rsid w:val="00777BC3"/>
    <w:rsid w:val="0078240F"/>
    <w:rsid w:val="0078333C"/>
    <w:rsid w:val="00783613"/>
    <w:rsid w:val="007845AB"/>
    <w:rsid w:val="00784A4D"/>
    <w:rsid w:val="00785FE3"/>
    <w:rsid w:val="00786429"/>
    <w:rsid w:val="00786A48"/>
    <w:rsid w:val="00786E1A"/>
    <w:rsid w:val="00787CCB"/>
    <w:rsid w:val="00791B58"/>
    <w:rsid w:val="00791F16"/>
    <w:rsid w:val="007925AA"/>
    <w:rsid w:val="007930DD"/>
    <w:rsid w:val="00793794"/>
    <w:rsid w:val="00793840"/>
    <w:rsid w:val="007961E8"/>
    <w:rsid w:val="00796EA3"/>
    <w:rsid w:val="007975B5"/>
    <w:rsid w:val="0079782C"/>
    <w:rsid w:val="00797D20"/>
    <w:rsid w:val="007A1977"/>
    <w:rsid w:val="007A1D3E"/>
    <w:rsid w:val="007A3951"/>
    <w:rsid w:val="007A3F14"/>
    <w:rsid w:val="007A67C5"/>
    <w:rsid w:val="007A7A13"/>
    <w:rsid w:val="007A7F6B"/>
    <w:rsid w:val="007B05A5"/>
    <w:rsid w:val="007B0852"/>
    <w:rsid w:val="007B26BC"/>
    <w:rsid w:val="007B28C6"/>
    <w:rsid w:val="007B3585"/>
    <w:rsid w:val="007B53D7"/>
    <w:rsid w:val="007B6C69"/>
    <w:rsid w:val="007C0174"/>
    <w:rsid w:val="007C192B"/>
    <w:rsid w:val="007C24BC"/>
    <w:rsid w:val="007C3897"/>
    <w:rsid w:val="007C6C61"/>
    <w:rsid w:val="007C6FDB"/>
    <w:rsid w:val="007D1CB7"/>
    <w:rsid w:val="007D32FD"/>
    <w:rsid w:val="007D3C4E"/>
    <w:rsid w:val="007D476A"/>
    <w:rsid w:val="007D5088"/>
    <w:rsid w:val="007D5D3A"/>
    <w:rsid w:val="007D6128"/>
    <w:rsid w:val="007D75C6"/>
    <w:rsid w:val="007D78B4"/>
    <w:rsid w:val="007E01D0"/>
    <w:rsid w:val="007E0ED4"/>
    <w:rsid w:val="007E1843"/>
    <w:rsid w:val="007E3D33"/>
    <w:rsid w:val="007E3FBD"/>
    <w:rsid w:val="007E4A07"/>
    <w:rsid w:val="007E53F3"/>
    <w:rsid w:val="007E5D8B"/>
    <w:rsid w:val="007F3CDD"/>
    <w:rsid w:val="007F4F29"/>
    <w:rsid w:val="007F500A"/>
    <w:rsid w:val="007F5510"/>
    <w:rsid w:val="007F6808"/>
    <w:rsid w:val="007F6B4B"/>
    <w:rsid w:val="007F7533"/>
    <w:rsid w:val="008023EE"/>
    <w:rsid w:val="00802DEA"/>
    <w:rsid w:val="00804A45"/>
    <w:rsid w:val="00804C29"/>
    <w:rsid w:val="00805CC2"/>
    <w:rsid w:val="00807188"/>
    <w:rsid w:val="008077AF"/>
    <w:rsid w:val="00810087"/>
    <w:rsid w:val="008100A0"/>
    <w:rsid w:val="00811A87"/>
    <w:rsid w:val="00813248"/>
    <w:rsid w:val="00813978"/>
    <w:rsid w:val="00815D80"/>
    <w:rsid w:val="00815DB6"/>
    <w:rsid w:val="00816A30"/>
    <w:rsid w:val="008207C3"/>
    <w:rsid w:val="0082151A"/>
    <w:rsid w:val="00825B68"/>
    <w:rsid w:val="00825EDB"/>
    <w:rsid w:val="0082669E"/>
    <w:rsid w:val="00827F06"/>
    <w:rsid w:val="0083008E"/>
    <w:rsid w:val="008307FF"/>
    <w:rsid w:val="00832054"/>
    <w:rsid w:val="00832902"/>
    <w:rsid w:val="008329F9"/>
    <w:rsid w:val="00833900"/>
    <w:rsid w:val="00833DEE"/>
    <w:rsid w:val="008420CA"/>
    <w:rsid w:val="00843080"/>
    <w:rsid w:val="008442F2"/>
    <w:rsid w:val="008444E0"/>
    <w:rsid w:val="00845ADC"/>
    <w:rsid w:val="008471D5"/>
    <w:rsid w:val="00850556"/>
    <w:rsid w:val="008510F9"/>
    <w:rsid w:val="00852577"/>
    <w:rsid w:val="00853D37"/>
    <w:rsid w:val="00855114"/>
    <w:rsid w:val="00856229"/>
    <w:rsid w:val="008566AF"/>
    <w:rsid w:val="00862BB8"/>
    <w:rsid w:val="008634B0"/>
    <w:rsid w:val="008644DC"/>
    <w:rsid w:val="00864852"/>
    <w:rsid w:val="008677F5"/>
    <w:rsid w:val="008705A7"/>
    <w:rsid w:val="00870AAA"/>
    <w:rsid w:val="00872EEE"/>
    <w:rsid w:val="008730CD"/>
    <w:rsid w:val="0087633E"/>
    <w:rsid w:val="00877C84"/>
    <w:rsid w:val="00877F57"/>
    <w:rsid w:val="00880A06"/>
    <w:rsid w:val="0088336B"/>
    <w:rsid w:val="00883623"/>
    <w:rsid w:val="00885430"/>
    <w:rsid w:val="008860F8"/>
    <w:rsid w:val="00886D25"/>
    <w:rsid w:val="008929CE"/>
    <w:rsid w:val="00892AF1"/>
    <w:rsid w:val="00893918"/>
    <w:rsid w:val="0089579C"/>
    <w:rsid w:val="00895E2E"/>
    <w:rsid w:val="0089699D"/>
    <w:rsid w:val="0089736A"/>
    <w:rsid w:val="008A0831"/>
    <w:rsid w:val="008A10AB"/>
    <w:rsid w:val="008A179C"/>
    <w:rsid w:val="008A17D6"/>
    <w:rsid w:val="008A1CDD"/>
    <w:rsid w:val="008A29D4"/>
    <w:rsid w:val="008A30F3"/>
    <w:rsid w:val="008A4478"/>
    <w:rsid w:val="008A7D53"/>
    <w:rsid w:val="008B0675"/>
    <w:rsid w:val="008B204E"/>
    <w:rsid w:val="008B27BA"/>
    <w:rsid w:val="008B2DEF"/>
    <w:rsid w:val="008B4F8D"/>
    <w:rsid w:val="008B5529"/>
    <w:rsid w:val="008B6C7D"/>
    <w:rsid w:val="008B7B8A"/>
    <w:rsid w:val="008B7F9C"/>
    <w:rsid w:val="008C4110"/>
    <w:rsid w:val="008C4E75"/>
    <w:rsid w:val="008C5AA5"/>
    <w:rsid w:val="008C6529"/>
    <w:rsid w:val="008D01FF"/>
    <w:rsid w:val="008D518C"/>
    <w:rsid w:val="008D5235"/>
    <w:rsid w:val="008D523F"/>
    <w:rsid w:val="008D55E1"/>
    <w:rsid w:val="008D5EC3"/>
    <w:rsid w:val="008D6377"/>
    <w:rsid w:val="008D6504"/>
    <w:rsid w:val="008D664D"/>
    <w:rsid w:val="008D6B6A"/>
    <w:rsid w:val="008E1CE0"/>
    <w:rsid w:val="008E1FED"/>
    <w:rsid w:val="008E6638"/>
    <w:rsid w:val="008E7ADA"/>
    <w:rsid w:val="008E7DDA"/>
    <w:rsid w:val="008F284D"/>
    <w:rsid w:val="008F4882"/>
    <w:rsid w:val="008F4A45"/>
    <w:rsid w:val="008F6E0C"/>
    <w:rsid w:val="008F780A"/>
    <w:rsid w:val="00900519"/>
    <w:rsid w:val="0090432D"/>
    <w:rsid w:val="0091168A"/>
    <w:rsid w:val="00912406"/>
    <w:rsid w:val="00913633"/>
    <w:rsid w:val="00913878"/>
    <w:rsid w:val="0091393B"/>
    <w:rsid w:val="0091454A"/>
    <w:rsid w:val="009146D4"/>
    <w:rsid w:val="00915402"/>
    <w:rsid w:val="00915B59"/>
    <w:rsid w:val="00916597"/>
    <w:rsid w:val="00917BF4"/>
    <w:rsid w:val="0092073B"/>
    <w:rsid w:val="009207A8"/>
    <w:rsid w:val="00921CE3"/>
    <w:rsid w:val="00923667"/>
    <w:rsid w:val="00923F57"/>
    <w:rsid w:val="00924CB9"/>
    <w:rsid w:val="00926333"/>
    <w:rsid w:val="009269A7"/>
    <w:rsid w:val="00926C5D"/>
    <w:rsid w:val="00926F76"/>
    <w:rsid w:val="0093058E"/>
    <w:rsid w:val="0093077A"/>
    <w:rsid w:val="00931B20"/>
    <w:rsid w:val="00933552"/>
    <w:rsid w:val="00933E17"/>
    <w:rsid w:val="00934594"/>
    <w:rsid w:val="0093461B"/>
    <w:rsid w:val="00934660"/>
    <w:rsid w:val="00934CE0"/>
    <w:rsid w:val="00934E5C"/>
    <w:rsid w:val="00940761"/>
    <w:rsid w:val="009425C3"/>
    <w:rsid w:val="00943D61"/>
    <w:rsid w:val="00944A8A"/>
    <w:rsid w:val="0094525B"/>
    <w:rsid w:val="0094541F"/>
    <w:rsid w:val="00945739"/>
    <w:rsid w:val="00947811"/>
    <w:rsid w:val="00947AE1"/>
    <w:rsid w:val="0095122D"/>
    <w:rsid w:val="009515A9"/>
    <w:rsid w:val="00952401"/>
    <w:rsid w:val="00952858"/>
    <w:rsid w:val="00952CE9"/>
    <w:rsid w:val="00954649"/>
    <w:rsid w:val="00955943"/>
    <w:rsid w:val="00956F28"/>
    <w:rsid w:val="00957F38"/>
    <w:rsid w:val="009615BF"/>
    <w:rsid w:val="00965297"/>
    <w:rsid w:val="009662F4"/>
    <w:rsid w:val="00966D2F"/>
    <w:rsid w:val="009708A6"/>
    <w:rsid w:val="009752E6"/>
    <w:rsid w:val="009776D6"/>
    <w:rsid w:val="00977EE1"/>
    <w:rsid w:val="009808BE"/>
    <w:rsid w:val="009819C1"/>
    <w:rsid w:val="00981F14"/>
    <w:rsid w:val="009821BF"/>
    <w:rsid w:val="009835ED"/>
    <w:rsid w:val="00983E93"/>
    <w:rsid w:val="0098492E"/>
    <w:rsid w:val="00986C78"/>
    <w:rsid w:val="00987605"/>
    <w:rsid w:val="009907C0"/>
    <w:rsid w:val="0099145F"/>
    <w:rsid w:val="00992A54"/>
    <w:rsid w:val="009968FE"/>
    <w:rsid w:val="00996A08"/>
    <w:rsid w:val="009971E8"/>
    <w:rsid w:val="009A1824"/>
    <w:rsid w:val="009A2B3E"/>
    <w:rsid w:val="009A2D09"/>
    <w:rsid w:val="009A45DB"/>
    <w:rsid w:val="009A49ED"/>
    <w:rsid w:val="009A61A0"/>
    <w:rsid w:val="009A6738"/>
    <w:rsid w:val="009A6938"/>
    <w:rsid w:val="009B2453"/>
    <w:rsid w:val="009B4174"/>
    <w:rsid w:val="009B41EF"/>
    <w:rsid w:val="009B5903"/>
    <w:rsid w:val="009B758C"/>
    <w:rsid w:val="009C037A"/>
    <w:rsid w:val="009C191C"/>
    <w:rsid w:val="009C2286"/>
    <w:rsid w:val="009C2636"/>
    <w:rsid w:val="009C3A82"/>
    <w:rsid w:val="009C3C31"/>
    <w:rsid w:val="009C78D2"/>
    <w:rsid w:val="009D0807"/>
    <w:rsid w:val="009D107B"/>
    <w:rsid w:val="009D1284"/>
    <w:rsid w:val="009D2727"/>
    <w:rsid w:val="009D451E"/>
    <w:rsid w:val="009D5ACF"/>
    <w:rsid w:val="009D5E3C"/>
    <w:rsid w:val="009D75A2"/>
    <w:rsid w:val="009E2847"/>
    <w:rsid w:val="009E312B"/>
    <w:rsid w:val="009E6FFE"/>
    <w:rsid w:val="009E7100"/>
    <w:rsid w:val="009E7188"/>
    <w:rsid w:val="009F0C65"/>
    <w:rsid w:val="009F19E4"/>
    <w:rsid w:val="009F2023"/>
    <w:rsid w:val="009F382E"/>
    <w:rsid w:val="009F3ACA"/>
    <w:rsid w:val="009F4A03"/>
    <w:rsid w:val="009F6840"/>
    <w:rsid w:val="009F6A70"/>
    <w:rsid w:val="009F75BB"/>
    <w:rsid w:val="009F76E9"/>
    <w:rsid w:val="009F77EF"/>
    <w:rsid w:val="00A0103E"/>
    <w:rsid w:val="00A0287E"/>
    <w:rsid w:val="00A032BA"/>
    <w:rsid w:val="00A0411B"/>
    <w:rsid w:val="00A12CBF"/>
    <w:rsid w:val="00A14707"/>
    <w:rsid w:val="00A16492"/>
    <w:rsid w:val="00A25109"/>
    <w:rsid w:val="00A25367"/>
    <w:rsid w:val="00A2563A"/>
    <w:rsid w:val="00A301F4"/>
    <w:rsid w:val="00A321EC"/>
    <w:rsid w:val="00A35114"/>
    <w:rsid w:val="00A362B5"/>
    <w:rsid w:val="00A37B3D"/>
    <w:rsid w:val="00A40288"/>
    <w:rsid w:val="00A4046D"/>
    <w:rsid w:val="00A40E98"/>
    <w:rsid w:val="00A42A8C"/>
    <w:rsid w:val="00A4663C"/>
    <w:rsid w:val="00A511A2"/>
    <w:rsid w:val="00A51CC7"/>
    <w:rsid w:val="00A548E2"/>
    <w:rsid w:val="00A54B82"/>
    <w:rsid w:val="00A60B67"/>
    <w:rsid w:val="00A6359E"/>
    <w:rsid w:val="00A6362D"/>
    <w:rsid w:val="00A6371B"/>
    <w:rsid w:val="00A648D5"/>
    <w:rsid w:val="00A64A26"/>
    <w:rsid w:val="00A64C22"/>
    <w:rsid w:val="00A653DC"/>
    <w:rsid w:val="00A662C9"/>
    <w:rsid w:val="00A67A82"/>
    <w:rsid w:val="00A708CE"/>
    <w:rsid w:val="00A70CB0"/>
    <w:rsid w:val="00A75088"/>
    <w:rsid w:val="00A77924"/>
    <w:rsid w:val="00A80019"/>
    <w:rsid w:val="00A808E1"/>
    <w:rsid w:val="00A82024"/>
    <w:rsid w:val="00A82255"/>
    <w:rsid w:val="00A832BE"/>
    <w:rsid w:val="00A838F6"/>
    <w:rsid w:val="00A848AC"/>
    <w:rsid w:val="00A87379"/>
    <w:rsid w:val="00A91484"/>
    <w:rsid w:val="00A92C76"/>
    <w:rsid w:val="00A936BD"/>
    <w:rsid w:val="00A93C9E"/>
    <w:rsid w:val="00A93DE5"/>
    <w:rsid w:val="00A942CC"/>
    <w:rsid w:val="00A965CE"/>
    <w:rsid w:val="00A96914"/>
    <w:rsid w:val="00A97EC8"/>
    <w:rsid w:val="00AA0BD1"/>
    <w:rsid w:val="00AA13A6"/>
    <w:rsid w:val="00AA13F3"/>
    <w:rsid w:val="00AA29B2"/>
    <w:rsid w:val="00AA6292"/>
    <w:rsid w:val="00AA7731"/>
    <w:rsid w:val="00AB02B5"/>
    <w:rsid w:val="00AB05C3"/>
    <w:rsid w:val="00AB2A3E"/>
    <w:rsid w:val="00AB4D6A"/>
    <w:rsid w:val="00AB539E"/>
    <w:rsid w:val="00AB53C4"/>
    <w:rsid w:val="00AB6944"/>
    <w:rsid w:val="00AB76CA"/>
    <w:rsid w:val="00AB7F84"/>
    <w:rsid w:val="00AC5A8D"/>
    <w:rsid w:val="00AC6076"/>
    <w:rsid w:val="00AC648C"/>
    <w:rsid w:val="00AC7635"/>
    <w:rsid w:val="00AC7E34"/>
    <w:rsid w:val="00AC7FFB"/>
    <w:rsid w:val="00AD04A8"/>
    <w:rsid w:val="00AD101F"/>
    <w:rsid w:val="00AD22D0"/>
    <w:rsid w:val="00AD3915"/>
    <w:rsid w:val="00AD5F41"/>
    <w:rsid w:val="00AD6598"/>
    <w:rsid w:val="00AE0B61"/>
    <w:rsid w:val="00AE0DC9"/>
    <w:rsid w:val="00AE1793"/>
    <w:rsid w:val="00AE21AF"/>
    <w:rsid w:val="00AE2D59"/>
    <w:rsid w:val="00AE3A60"/>
    <w:rsid w:val="00AE4DB2"/>
    <w:rsid w:val="00AE5192"/>
    <w:rsid w:val="00AE60CF"/>
    <w:rsid w:val="00AE7E0D"/>
    <w:rsid w:val="00AF077B"/>
    <w:rsid w:val="00AF08DA"/>
    <w:rsid w:val="00AF0B8F"/>
    <w:rsid w:val="00AF3B09"/>
    <w:rsid w:val="00AF5E99"/>
    <w:rsid w:val="00B01DEB"/>
    <w:rsid w:val="00B025BF"/>
    <w:rsid w:val="00B02B10"/>
    <w:rsid w:val="00B02C9A"/>
    <w:rsid w:val="00B03840"/>
    <w:rsid w:val="00B045FB"/>
    <w:rsid w:val="00B072A5"/>
    <w:rsid w:val="00B07FE7"/>
    <w:rsid w:val="00B10101"/>
    <w:rsid w:val="00B10E6C"/>
    <w:rsid w:val="00B112D9"/>
    <w:rsid w:val="00B119EA"/>
    <w:rsid w:val="00B11F34"/>
    <w:rsid w:val="00B12972"/>
    <w:rsid w:val="00B12EAB"/>
    <w:rsid w:val="00B13564"/>
    <w:rsid w:val="00B14F80"/>
    <w:rsid w:val="00B14FC2"/>
    <w:rsid w:val="00B15C01"/>
    <w:rsid w:val="00B15FD5"/>
    <w:rsid w:val="00B17054"/>
    <w:rsid w:val="00B2007F"/>
    <w:rsid w:val="00B25CCF"/>
    <w:rsid w:val="00B264F1"/>
    <w:rsid w:val="00B30536"/>
    <w:rsid w:val="00B348B3"/>
    <w:rsid w:val="00B36167"/>
    <w:rsid w:val="00B40259"/>
    <w:rsid w:val="00B4034F"/>
    <w:rsid w:val="00B424E5"/>
    <w:rsid w:val="00B44B30"/>
    <w:rsid w:val="00B44DAF"/>
    <w:rsid w:val="00B45351"/>
    <w:rsid w:val="00B45958"/>
    <w:rsid w:val="00B46C6D"/>
    <w:rsid w:val="00B47B44"/>
    <w:rsid w:val="00B51F48"/>
    <w:rsid w:val="00B52971"/>
    <w:rsid w:val="00B53379"/>
    <w:rsid w:val="00B5434B"/>
    <w:rsid w:val="00B5566E"/>
    <w:rsid w:val="00B5593F"/>
    <w:rsid w:val="00B5659A"/>
    <w:rsid w:val="00B60048"/>
    <w:rsid w:val="00B609DC"/>
    <w:rsid w:val="00B6199B"/>
    <w:rsid w:val="00B631A2"/>
    <w:rsid w:val="00B63826"/>
    <w:rsid w:val="00B6415B"/>
    <w:rsid w:val="00B64684"/>
    <w:rsid w:val="00B651EF"/>
    <w:rsid w:val="00B660E1"/>
    <w:rsid w:val="00B70587"/>
    <w:rsid w:val="00B70D7F"/>
    <w:rsid w:val="00B718ED"/>
    <w:rsid w:val="00B72A6B"/>
    <w:rsid w:val="00B73863"/>
    <w:rsid w:val="00B768F7"/>
    <w:rsid w:val="00B80805"/>
    <w:rsid w:val="00B80C69"/>
    <w:rsid w:val="00B85B8B"/>
    <w:rsid w:val="00B87951"/>
    <w:rsid w:val="00B9205E"/>
    <w:rsid w:val="00B93F4C"/>
    <w:rsid w:val="00B94BFD"/>
    <w:rsid w:val="00B94EEA"/>
    <w:rsid w:val="00B9522A"/>
    <w:rsid w:val="00B9562E"/>
    <w:rsid w:val="00B95C94"/>
    <w:rsid w:val="00B97C1E"/>
    <w:rsid w:val="00BA1FBB"/>
    <w:rsid w:val="00BA4520"/>
    <w:rsid w:val="00BA67C4"/>
    <w:rsid w:val="00BA6CB3"/>
    <w:rsid w:val="00BA7078"/>
    <w:rsid w:val="00BA7C7B"/>
    <w:rsid w:val="00BB04E1"/>
    <w:rsid w:val="00BB0815"/>
    <w:rsid w:val="00BB720F"/>
    <w:rsid w:val="00BC03A7"/>
    <w:rsid w:val="00BC19BB"/>
    <w:rsid w:val="00BC238D"/>
    <w:rsid w:val="00BC3AFD"/>
    <w:rsid w:val="00BC489D"/>
    <w:rsid w:val="00BC7F29"/>
    <w:rsid w:val="00BD07F0"/>
    <w:rsid w:val="00BD0D25"/>
    <w:rsid w:val="00BD56DB"/>
    <w:rsid w:val="00BD7822"/>
    <w:rsid w:val="00BD7E62"/>
    <w:rsid w:val="00BE08F9"/>
    <w:rsid w:val="00BE0E25"/>
    <w:rsid w:val="00BE1B6C"/>
    <w:rsid w:val="00BE34C8"/>
    <w:rsid w:val="00BE3E21"/>
    <w:rsid w:val="00BE4F19"/>
    <w:rsid w:val="00BF00E1"/>
    <w:rsid w:val="00BF09C5"/>
    <w:rsid w:val="00BF1105"/>
    <w:rsid w:val="00BF2BB2"/>
    <w:rsid w:val="00BF58B0"/>
    <w:rsid w:val="00BF7BA6"/>
    <w:rsid w:val="00C02088"/>
    <w:rsid w:val="00C022F4"/>
    <w:rsid w:val="00C02FE2"/>
    <w:rsid w:val="00C03C89"/>
    <w:rsid w:val="00C04063"/>
    <w:rsid w:val="00C04B59"/>
    <w:rsid w:val="00C05E2D"/>
    <w:rsid w:val="00C13780"/>
    <w:rsid w:val="00C208DB"/>
    <w:rsid w:val="00C226F1"/>
    <w:rsid w:val="00C22EF1"/>
    <w:rsid w:val="00C2326E"/>
    <w:rsid w:val="00C253B9"/>
    <w:rsid w:val="00C25C89"/>
    <w:rsid w:val="00C26726"/>
    <w:rsid w:val="00C27624"/>
    <w:rsid w:val="00C31B8A"/>
    <w:rsid w:val="00C329BB"/>
    <w:rsid w:val="00C33274"/>
    <w:rsid w:val="00C33E52"/>
    <w:rsid w:val="00C35D4D"/>
    <w:rsid w:val="00C3795D"/>
    <w:rsid w:val="00C37FC2"/>
    <w:rsid w:val="00C40695"/>
    <w:rsid w:val="00C40D57"/>
    <w:rsid w:val="00C4330B"/>
    <w:rsid w:val="00C4437C"/>
    <w:rsid w:val="00C51083"/>
    <w:rsid w:val="00C51CBB"/>
    <w:rsid w:val="00C51E70"/>
    <w:rsid w:val="00C525AC"/>
    <w:rsid w:val="00C52752"/>
    <w:rsid w:val="00C5293C"/>
    <w:rsid w:val="00C53B82"/>
    <w:rsid w:val="00C546EB"/>
    <w:rsid w:val="00C56B4B"/>
    <w:rsid w:val="00C574E6"/>
    <w:rsid w:val="00C5766B"/>
    <w:rsid w:val="00C57C5F"/>
    <w:rsid w:val="00C57CF9"/>
    <w:rsid w:val="00C60AEA"/>
    <w:rsid w:val="00C61C25"/>
    <w:rsid w:val="00C61CB7"/>
    <w:rsid w:val="00C62043"/>
    <w:rsid w:val="00C62838"/>
    <w:rsid w:val="00C62DD9"/>
    <w:rsid w:val="00C65561"/>
    <w:rsid w:val="00C66664"/>
    <w:rsid w:val="00C67AF2"/>
    <w:rsid w:val="00C67EFA"/>
    <w:rsid w:val="00C70774"/>
    <w:rsid w:val="00C71473"/>
    <w:rsid w:val="00C71705"/>
    <w:rsid w:val="00C7212A"/>
    <w:rsid w:val="00C728E0"/>
    <w:rsid w:val="00C72EC7"/>
    <w:rsid w:val="00C73404"/>
    <w:rsid w:val="00C73A45"/>
    <w:rsid w:val="00C74E25"/>
    <w:rsid w:val="00C80BEF"/>
    <w:rsid w:val="00C80EAF"/>
    <w:rsid w:val="00C8397C"/>
    <w:rsid w:val="00C83FA9"/>
    <w:rsid w:val="00C84255"/>
    <w:rsid w:val="00C84704"/>
    <w:rsid w:val="00C84A42"/>
    <w:rsid w:val="00C86C3A"/>
    <w:rsid w:val="00C87D81"/>
    <w:rsid w:val="00C91FE1"/>
    <w:rsid w:val="00C92329"/>
    <w:rsid w:val="00C926BB"/>
    <w:rsid w:val="00C93698"/>
    <w:rsid w:val="00C936D7"/>
    <w:rsid w:val="00C9373E"/>
    <w:rsid w:val="00C943AE"/>
    <w:rsid w:val="00C94C90"/>
    <w:rsid w:val="00C95550"/>
    <w:rsid w:val="00C95BF4"/>
    <w:rsid w:val="00C96AE9"/>
    <w:rsid w:val="00C971A6"/>
    <w:rsid w:val="00CA088F"/>
    <w:rsid w:val="00CA0964"/>
    <w:rsid w:val="00CA357B"/>
    <w:rsid w:val="00CA57EB"/>
    <w:rsid w:val="00CA73C3"/>
    <w:rsid w:val="00CB04E7"/>
    <w:rsid w:val="00CB0BB2"/>
    <w:rsid w:val="00CB2A4A"/>
    <w:rsid w:val="00CB2C02"/>
    <w:rsid w:val="00CB386B"/>
    <w:rsid w:val="00CB40F7"/>
    <w:rsid w:val="00CB59DB"/>
    <w:rsid w:val="00CB5D94"/>
    <w:rsid w:val="00CB5DE0"/>
    <w:rsid w:val="00CB6069"/>
    <w:rsid w:val="00CB68CD"/>
    <w:rsid w:val="00CB6B75"/>
    <w:rsid w:val="00CB6B9E"/>
    <w:rsid w:val="00CB73C5"/>
    <w:rsid w:val="00CB788C"/>
    <w:rsid w:val="00CC116A"/>
    <w:rsid w:val="00CC3E09"/>
    <w:rsid w:val="00CC544E"/>
    <w:rsid w:val="00CC5594"/>
    <w:rsid w:val="00CC55BE"/>
    <w:rsid w:val="00CC601E"/>
    <w:rsid w:val="00CC7539"/>
    <w:rsid w:val="00CD1ED6"/>
    <w:rsid w:val="00CD2443"/>
    <w:rsid w:val="00CD3016"/>
    <w:rsid w:val="00CD3FD1"/>
    <w:rsid w:val="00CD4B6D"/>
    <w:rsid w:val="00CD644D"/>
    <w:rsid w:val="00CE0923"/>
    <w:rsid w:val="00CE2179"/>
    <w:rsid w:val="00CE2181"/>
    <w:rsid w:val="00CE3A8C"/>
    <w:rsid w:val="00CE441D"/>
    <w:rsid w:val="00CE6B1D"/>
    <w:rsid w:val="00CE73F3"/>
    <w:rsid w:val="00CE750E"/>
    <w:rsid w:val="00CE7D5A"/>
    <w:rsid w:val="00CE7E1E"/>
    <w:rsid w:val="00CF0D6E"/>
    <w:rsid w:val="00CF0E9E"/>
    <w:rsid w:val="00CF14C0"/>
    <w:rsid w:val="00CF1E43"/>
    <w:rsid w:val="00CF2266"/>
    <w:rsid w:val="00CF3853"/>
    <w:rsid w:val="00CF6705"/>
    <w:rsid w:val="00CF6DB3"/>
    <w:rsid w:val="00CF7794"/>
    <w:rsid w:val="00D011B2"/>
    <w:rsid w:val="00D02EB0"/>
    <w:rsid w:val="00D03F74"/>
    <w:rsid w:val="00D05EB9"/>
    <w:rsid w:val="00D0787A"/>
    <w:rsid w:val="00D12EC4"/>
    <w:rsid w:val="00D13B76"/>
    <w:rsid w:val="00D13DC3"/>
    <w:rsid w:val="00D14505"/>
    <w:rsid w:val="00D1575D"/>
    <w:rsid w:val="00D15A90"/>
    <w:rsid w:val="00D16AA2"/>
    <w:rsid w:val="00D16F13"/>
    <w:rsid w:val="00D20B9C"/>
    <w:rsid w:val="00D20C13"/>
    <w:rsid w:val="00D258E4"/>
    <w:rsid w:val="00D26414"/>
    <w:rsid w:val="00D2698F"/>
    <w:rsid w:val="00D26EF0"/>
    <w:rsid w:val="00D31159"/>
    <w:rsid w:val="00D3297B"/>
    <w:rsid w:val="00D32DBA"/>
    <w:rsid w:val="00D332E4"/>
    <w:rsid w:val="00D34C5C"/>
    <w:rsid w:val="00D34EF4"/>
    <w:rsid w:val="00D4111B"/>
    <w:rsid w:val="00D414C1"/>
    <w:rsid w:val="00D42CD8"/>
    <w:rsid w:val="00D433FD"/>
    <w:rsid w:val="00D45DB0"/>
    <w:rsid w:val="00D4715C"/>
    <w:rsid w:val="00D471C4"/>
    <w:rsid w:val="00D50313"/>
    <w:rsid w:val="00D5274E"/>
    <w:rsid w:val="00D54727"/>
    <w:rsid w:val="00D54C71"/>
    <w:rsid w:val="00D56027"/>
    <w:rsid w:val="00D56E7C"/>
    <w:rsid w:val="00D6374C"/>
    <w:rsid w:val="00D6535C"/>
    <w:rsid w:val="00D66D13"/>
    <w:rsid w:val="00D67535"/>
    <w:rsid w:val="00D6783B"/>
    <w:rsid w:val="00D7048E"/>
    <w:rsid w:val="00D70CCC"/>
    <w:rsid w:val="00D71C6E"/>
    <w:rsid w:val="00D72CD1"/>
    <w:rsid w:val="00D742DD"/>
    <w:rsid w:val="00D74692"/>
    <w:rsid w:val="00D74BBE"/>
    <w:rsid w:val="00D75636"/>
    <w:rsid w:val="00D76E40"/>
    <w:rsid w:val="00D80040"/>
    <w:rsid w:val="00D8099A"/>
    <w:rsid w:val="00D81D41"/>
    <w:rsid w:val="00D83690"/>
    <w:rsid w:val="00D84FD2"/>
    <w:rsid w:val="00D859A7"/>
    <w:rsid w:val="00D8739C"/>
    <w:rsid w:val="00D87E83"/>
    <w:rsid w:val="00D9295C"/>
    <w:rsid w:val="00D92FB9"/>
    <w:rsid w:val="00D9355C"/>
    <w:rsid w:val="00D9386D"/>
    <w:rsid w:val="00D938A2"/>
    <w:rsid w:val="00D94030"/>
    <w:rsid w:val="00D94143"/>
    <w:rsid w:val="00D9775B"/>
    <w:rsid w:val="00DA0C9B"/>
    <w:rsid w:val="00DA0E48"/>
    <w:rsid w:val="00DA1F24"/>
    <w:rsid w:val="00DA26E9"/>
    <w:rsid w:val="00DA2BEA"/>
    <w:rsid w:val="00DA2E99"/>
    <w:rsid w:val="00DA39A9"/>
    <w:rsid w:val="00DA414B"/>
    <w:rsid w:val="00DA4CA4"/>
    <w:rsid w:val="00DA7708"/>
    <w:rsid w:val="00DA773A"/>
    <w:rsid w:val="00DA7B55"/>
    <w:rsid w:val="00DB0845"/>
    <w:rsid w:val="00DB25A6"/>
    <w:rsid w:val="00DB39D6"/>
    <w:rsid w:val="00DB43E3"/>
    <w:rsid w:val="00DB53DE"/>
    <w:rsid w:val="00DB5FC7"/>
    <w:rsid w:val="00DB7A00"/>
    <w:rsid w:val="00DB7D59"/>
    <w:rsid w:val="00DC068B"/>
    <w:rsid w:val="00DC08AC"/>
    <w:rsid w:val="00DC3074"/>
    <w:rsid w:val="00DD0650"/>
    <w:rsid w:val="00DD1CBB"/>
    <w:rsid w:val="00DD3CB8"/>
    <w:rsid w:val="00DD3CE2"/>
    <w:rsid w:val="00DD523B"/>
    <w:rsid w:val="00DD5C05"/>
    <w:rsid w:val="00DD6ABB"/>
    <w:rsid w:val="00DD72C3"/>
    <w:rsid w:val="00DD7C41"/>
    <w:rsid w:val="00DE0AEF"/>
    <w:rsid w:val="00DE1164"/>
    <w:rsid w:val="00DE3CAC"/>
    <w:rsid w:val="00DE52AE"/>
    <w:rsid w:val="00DE56FC"/>
    <w:rsid w:val="00DE6D95"/>
    <w:rsid w:val="00DE70B6"/>
    <w:rsid w:val="00DE73B3"/>
    <w:rsid w:val="00DF0521"/>
    <w:rsid w:val="00DF183C"/>
    <w:rsid w:val="00DF283C"/>
    <w:rsid w:val="00DF56A7"/>
    <w:rsid w:val="00E037BE"/>
    <w:rsid w:val="00E048F5"/>
    <w:rsid w:val="00E05198"/>
    <w:rsid w:val="00E05D40"/>
    <w:rsid w:val="00E063BD"/>
    <w:rsid w:val="00E066A6"/>
    <w:rsid w:val="00E06B52"/>
    <w:rsid w:val="00E07179"/>
    <w:rsid w:val="00E07648"/>
    <w:rsid w:val="00E107FF"/>
    <w:rsid w:val="00E10A0F"/>
    <w:rsid w:val="00E10C29"/>
    <w:rsid w:val="00E11194"/>
    <w:rsid w:val="00E12750"/>
    <w:rsid w:val="00E14B67"/>
    <w:rsid w:val="00E15A53"/>
    <w:rsid w:val="00E16B00"/>
    <w:rsid w:val="00E2030A"/>
    <w:rsid w:val="00E21630"/>
    <w:rsid w:val="00E22D51"/>
    <w:rsid w:val="00E232F1"/>
    <w:rsid w:val="00E268EC"/>
    <w:rsid w:val="00E2726F"/>
    <w:rsid w:val="00E3164D"/>
    <w:rsid w:val="00E31D09"/>
    <w:rsid w:val="00E32DAB"/>
    <w:rsid w:val="00E3396F"/>
    <w:rsid w:val="00E3429C"/>
    <w:rsid w:val="00E346D6"/>
    <w:rsid w:val="00E35722"/>
    <w:rsid w:val="00E373F6"/>
    <w:rsid w:val="00E37EB9"/>
    <w:rsid w:val="00E40C9B"/>
    <w:rsid w:val="00E423DC"/>
    <w:rsid w:val="00E424F1"/>
    <w:rsid w:val="00E42BCC"/>
    <w:rsid w:val="00E43782"/>
    <w:rsid w:val="00E43E45"/>
    <w:rsid w:val="00E4463A"/>
    <w:rsid w:val="00E45066"/>
    <w:rsid w:val="00E53439"/>
    <w:rsid w:val="00E53890"/>
    <w:rsid w:val="00E538C4"/>
    <w:rsid w:val="00E607AF"/>
    <w:rsid w:val="00E611B0"/>
    <w:rsid w:val="00E6121B"/>
    <w:rsid w:val="00E63842"/>
    <w:rsid w:val="00E65642"/>
    <w:rsid w:val="00E6564C"/>
    <w:rsid w:val="00E664FF"/>
    <w:rsid w:val="00E67F65"/>
    <w:rsid w:val="00E70072"/>
    <w:rsid w:val="00E708F9"/>
    <w:rsid w:val="00E72E74"/>
    <w:rsid w:val="00E74C9D"/>
    <w:rsid w:val="00E74F2B"/>
    <w:rsid w:val="00E75619"/>
    <w:rsid w:val="00E82115"/>
    <w:rsid w:val="00E82B00"/>
    <w:rsid w:val="00E84BFA"/>
    <w:rsid w:val="00E86110"/>
    <w:rsid w:val="00E863C5"/>
    <w:rsid w:val="00E8672B"/>
    <w:rsid w:val="00E86CA2"/>
    <w:rsid w:val="00E870B0"/>
    <w:rsid w:val="00E873BF"/>
    <w:rsid w:val="00E87CF7"/>
    <w:rsid w:val="00E90503"/>
    <w:rsid w:val="00E90A31"/>
    <w:rsid w:val="00E920F1"/>
    <w:rsid w:val="00E92AB1"/>
    <w:rsid w:val="00E934EF"/>
    <w:rsid w:val="00E93F08"/>
    <w:rsid w:val="00E96B76"/>
    <w:rsid w:val="00EA0388"/>
    <w:rsid w:val="00EA298C"/>
    <w:rsid w:val="00EA4E1F"/>
    <w:rsid w:val="00EA6892"/>
    <w:rsid w:val="00EA6A6D"/>
    <w:rsid w:val="00EB014B"/>
    <w:rsid w:val="00EB0C1F"/>
    <w:rsid w:val="00EB1573"/>
    <w:rsid w:val="00EB55F3"/>
    <w:rsid w:val="00EC0012"/>
    <w:rsid w:val="00EC02A6"/>
    <w:rsid w:val="00EC1815"/>
    <w:rsid w:val="00EC4733"/>
    <w:rsid w:val="00EC47A1"/>
    <w:rsid w:val="00EC56E6"/>
    <w:rsid w:val="00EC59CD"/>
    <w:rsid w:val="00ED1B6F"/>
    <w:rsid w:val="00ED3D36"/>
    <w:rsid w:val="00ED3EFC"/>
    <w:rsid w:val="00ED4303"/>
    <w:rsid w:val="00ED5806"/>
    <w:rsid w:val="00ED7798"/>
    <w:rsid w:val="00EE23A6"/>
    <w:rsid w:val="00EE3B8D"/>
    <w:rsid w:val="00EE4CC4"/>
    <w:rsid w:val="00EE4E77"/>
    <w:rsid w:val="00EE4F38"/>
    <w:rsid w:val="00EE66F5"/>
    <w:rsid w:val="00EE791C"/>
    <w:rsid w:val="00EF0ACE"/>
    <w:rsid w:val="00EF1D2D"/>
    <w:rsid w:val="00EF23C3"/>
    <w:rsid w:val="00EF4C7A"/>
    <w:rsid w:val="00EF52A5"/>
    <w:rsid w:val="00F027E5"/>
    <w:rsid w:val="00F046FE"/>
    <w:rsid w:val="00F05FF5"/>
    <w:rsid w:val="00F06437"/>
    <w:rsid w:val="00F1132C"/>
    <w:rsid w:val="00F11610"/>
    <w:rsid w:val="00F1282E"/>
    <w:rsid w:val="00F12A78"/>
    <w:rsid w:val="00F12C89"/>
    <w:rsid w:val="00F145FB"/>
    <w:rsid w:val="00F1562E"/>
    <w:rsid w:val="00F1597A"/>
    <w:rsid w:val="00F30EF8"/>
    <w:rsid w:val="00F3452A"/>
    <w:rsid w:val="00F3510F"/>
    <w:rsid w:val="00F354A1"/>
    <w:rsid w:val="00F3660E"/>
    <w:rsid w:val="00F37045"/>
    <w:rsid w:val="00F43646"/>
    <w:rsid w:val="00F469C8"/>
    <w:rsid w:val="00F46CDA"/>
    <w:rsid w:val="00F525E9"/>
    <w:rsid w:val="00F5311E"/>
    <w:rsid w:val="00F53266"/>
    <w:rsid w:val="00F53353"/>
    <w:rsid w:val="00F53734"/>
    <w:rsid w:val="00F53DA5"/>
    <w:rsid w:val="00F54CAF"/>
    <w:rsid w:val="00F551CB"/>
    <w:rsid w:val="00F571FC"/>
    <w:rsid w:val="00F60A22"/>
    <w:rsid w:val="00F61CCF"/>
    <w:rsid w:val="00F627CC"/>
    <w:rsid w:val="00F632D6"/>
    <w:rsid w:val="00F64988"/>
    <w:rsid w:val="00F66020"/>
    <w:rsid w:val="00F677A2"/>
    <w:rsid w:val="00F67CAC"/>
    <w:rsid w:val="00F70645"/>
    <w:rsid w:val="00F71B85"/>
    <w:rsid w:val="00F72BA9"/>
    <w:rsid w:val="00F73FB6"/>
    <w:rsid w:val="00F74E9D"/>
    <w:rsid w:val="00F75CF2"/>
    <w:rsid w:val="00F80060"/>
    <w:rsid w:val="00F80A17"/>
    <w:rsid w:val="00F8546E"/>
    <w:rsid w:val="00F85D60"/>
    <w:rsid w:val="00F870FC"/>
    <w:rsid w:val="00F8751E"/>
    <w:rsid w:val="00F87B49"/>
    <w:rsid w:val="00F900F5"/>
    <w:rsid w:val="00F93140"/>
    <w:rsid w:val="00F936F5"/>
    <w:rsid w:val="00F94F68"/>
    <w:rsid w:val="00F968E6"/>
    <w:rsid w:val="00F96CF5"/>
    <w:rsid w:val="00F979DF"/>
    <w:rsid w:val="00FA109B"/>
    <w:rsid w:val="00FA278B"/>
    <w:rsid w:val="00FA4FA6"/>
    <w:rsid w:val="00FA622D"/>
    <w:rsid w:val="00FA7396"/>
    <w:rsid w:val="00FB056A"/>
    <w:rsid w:val="00FB0FAE"/>
    <w:rsid w:val="00FB1A34"/>
    <w:rsid w:val="00FB323C"/>
    <w:rsid w:val="00FB3977"/>
    <w:rsid w:val="00FB3C7B"/>
    <w:rsid w:val="00FB5182"/>
    <w:rsid w:val="00FB55AB"/>
    <w:rsid w:val="00FB799C"/>
    <w:rsid w:val="00FC07CB"/>
    <w:rsid w:val="00FC2021"/>
    <w:rsid w:val="00FC282A"/>
    <w:rsid w:val="00FC2929"/>
    <w:rsid w:val="00FC33F5"/>
    <w:rsid w:val="00FC4A9F"/>
    <w:rsid w:val="00FC51B7"/>
    <w:rsid w:val="00FC51DA"/>
    <w:rsid w:val="00FC5DC4"/>
    <w:rsid w:val="00FC72ED"/>
    <w:rsid w:val="00FC7716"/>
    <w:rsid w:val="00FC7C6D"/>
    <w:rsid w:val="00FD00D4"/>
    <w:rsid w:val="00FD1136"/>
    <w:rsid w:val="00FD3F03"/>
    <w:rsid w:val="00FD4454"/>
    <w:rsid w:val="00FD467F"/>
    <w:rsid w:val="00FD483B"/>
    <w:rsid w:val="00FD53DA"/>
    <w:rsid w:val="00FE1A26"/>
    <w:rsid w:val="00FE2189"/>
    <w:rsid w:val="00FE3622"/>
    <w:rsid w:val="00FE40FE"/>
    <w:rsid w:val="00FE475F"/>
    <w:rsid w:val="00FE4A67"/>
    <w:rsid w:val="00FE4AD0"/>
    <w:rsid w:val="00FE4B36"/>
    <w:rsid w:val="00FE5088"/>
    <w:rsid w:val="00FE601B"/>
    <w:rsid w:val="00FE7B6F"/>
    <w:rsid w:val="00FF014B"/>
    <w:rsid w:val="00FF33C4"/>
    <w:rsid w:val="00FF4FC5"/>
    <w:rsid w:val="00FF545D"/>
    <w:rsid w:val="00FF784B"/>
    <w:rsid w:val="00FF7B12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F1B4D"/>
  <w15:docId w15:val="{4535114C-A235-4009-9912-31AA45E7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C2A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C3A82"/>
    <w:pPr>
      <w:suppressAutoHyphens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53D37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860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8A1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C7F3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53D37"/>
    <w:rPr>
      <w:rFonts w:ascii="Arial" w:hAnsi="Arial" w:cs="Times New Roman"/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86070"/>
    <w:rPr>
      <w:rFonts w:ascii="Cambria" w:hAnsi="Cambria" w:cs="Times New Roman"/>
      <w:b/>
      <w:sz w:val="26"/>
      <w:lang w:eastAsia="en-US"/>
    </w:rPr>
  </w:style>
  <w:style w:type="paragraph" w:styleId="lfej">
    <w:name w:val="header"/>
    <w:basedOn w:val="Norml"/>
    <w:link w:val="lfejChar"/>
    <w:uiPriority w:val="99"/>
    <w:rsid w:val="00853D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853D37"/>
    <w:rPr>
      <w:rFonts w:ascii="Times New Roman" w:hAnsi="Times New Roman" w:cs="Times New Roman"/>
      <w:sz w:val="24"/>
    </w:rPr>
  </w:style>
  <w:style w:type="paragraph" w:styleId="Listaszerbekezds">
    <w:name w:val="List Paragraph"/>
    <w:basedOn w:val="Norml"/>
    <w:uiPriority w:val="99"/>
    <w:qFormat/>
    <w:rsid w:val="006B3962"/>
    <w:pPr>
      <w:ind w:left="720"/>
      <w:contextualSpacing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6B396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B3962"/>
    <w:rPr>
      <w:rFonts w:ascii="Calibri" w:hAnsi="Calibri" w:cs="Times New Roman"/>
      <w:sz w:val="22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ED3E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4C7F36"/>
    <w:rPr>
      <w:rFonts w:cs="Times New Roman"/>
      <w:sz w:val="16"/>
      <w:szCs w:val="16"/>
      <w:lang w:eastAsia="en-US"/>
    </w:rPr>
  </w:style>
  <w:style w:type="paragraph" w:styleId="Alcm">
    <w:name w:val="Subtitle"/>
    <w:aliases w:val="Char Char Char Char Char Char Char Char Char,Char Char Char Char Char Char Char Char,Char Char Char Char Char Char"/>
    <w:basedOn w:val="Norml"/>
    <w:link w:val="AlcmChar"/>
    <w:uiPriority w:val="99"/>
    <w:qFormat/>
    <w:rsid w:val="00DB5FC7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AlcmChar">
    <w:name w:val="Alcím Char"/>
    <w:aliases w:val="Char Char Char Char Char Char Char Char Char Char,Char Char Char Char Char Char Char Char Char1,Char Char Char Char Char Char Char"/>
    <w:basedOn w:val="Bekezdsalapbettpusa"/>
    <w:link w:val="Alcm"/>
    <w:uiPriority w:val="99"/>
    <w:locked/>
    <w:rsid w:val="00DB5FC7"/>
    <w:rPr>
      <w:rFonts w:ascii="Times New Roman" w:hAnsi="Times New Roman" w:cs="Times New Roman"/>
      <w:i/>
      <w:sz w:val="24"/>
    </w:rPr>
  </w:style>
  <w:style w:type="character" w:styleId="Oldalszm">
    <w:name w:val="page number"/>
    <w:basedOn w:val="Bekezdsalapbettpusa"/>
    <w:uiPriority w:val="99"/>
    <w:rsid w:val="00DB5FC7"/>
    <w:rPr>
      <w:rFonts w:cs="Times New Roman"/>
    </w:rPr>
  </w:style>
  <w:style w:type="character" w:styleId="Hiperhivatkozs">
    <w:name w:val="Hyperlink"/>
    <w:basedOn w:val="Bekezdsalapbettpusa"/>
    <w:uiPriority w:val="99"/>
    <w:rsid w:val="00AA7731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586154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586154"/>
    <w:rPr>
      <w:rFonts w:ascii="Courier New" w:hAnsi="Courier New" w:cs="Times New Roman"/>
    </w:rPr>
  </w:style>
  <w:style w:type="paragraph" w:styleId="NormlWeb">
    <w:name w:val="Normal (Web)"/>
    <w:basedOn w:val="Norml"/>
    <w:uiPriority w:val="99"/>
    <w:rsid w:val="0058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harChar7">
    <w:name w:val="Char Char7"/>
    <w:uiPriority w:val="99"/>
    <w:locked/>
    <w:rsid w:val="00114A2C"/>
    <w:rPr>
      <w:sz w:val="24"/>
      <w:lang w:val="hu-HU" w:eastAsia="hu-HU"/>
    </w:rPr>
  </w:style>
  <w:style w:type="paragraph" w:styleId="llb">
    <w:name w:val="footer"/>
    <w:basedOn w:val="Norml"/>
    <w:link w:val="llbChar"/>
    <w:uiPriority w:val="99"/>
    <w:rsid w:val="001B12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1B1207"/>
    <w:rPr>
      <w:rFonts w:cs="Times New Roman"/>
      <w:sz w:val="22"/>
      <w:lang w:eastAsia="en-US"/>
    </w:rPr>
  </w:style>
  <w:style w:type="character" w:customStyle="1" w:styleId="apple-style-span">
    <w:name w:val="apple-style-span"/>
    <w:basedOn w:val="Bekezdsalapbettpusa"/>
    <w:uiPriority w:val="99"/>
    <w:rsid w:val="002B508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F900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900F5"/>
    <w:rPr>
      <w:rFonts w:ascii="Tahoma" w:hAnsi="Tahoma" w:cs="Times New Roman"/>
      <w:sz w:val="16"/>
      <w:lang w:eastAsia="en-US"/>
    </w:rPr>
  </w:style>
  <w:style w:type="character" w:customStyle="1" w:styleId="section-info-text">
    <w:name w:val="section-info-text"/>
    <w:uiPriority w:val="99"/>
    <w:rsid w:val="009D107B"/>
  </w:style>
  <w:style w:type="paragraph" w:styleId="TJ1">
    <w:name w:val="toc 1"/>
    <w:basedOn w:val="Norml"/>
    <w:next w:val="Norml"/>
    <w:autoRedefine/>
    <w:uiPriority w:val="39"/>
    <w:rsid w:val="00684C58"/>
    <w:pPr>
      <w:tabs>
        <w:tab w:val="right" w:leader="dot" w:pos="9062"/>
      </w:tabs>
      <w:spacing w:after="120" w:line="360" w:lineRule="auto"/>
      <w:jc w:val="both"/>
    </w:pPr>
    <w:rPr>
      <w:rFonts w:ascii="Times New Roman" w:hAnsi="Times New Roman"/>
      <w:noProof/>
      <w:sz w:val="24"/>
      <w:szCs w:val="24"/>
    </w:rPr>
  </w:style>
  <w:style w:type="paragraph" w:customStyle="1" w:styleId="TableParagraph">
    <w:name w:val="Table Paragraph"/>
    <w:basedOn w:val="Norml"/>
    <w:uiPriority w:val="99"/>
    <w:rsid w:val="00032EE7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rsid w:val="004D7C36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4D7C3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D7C36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D7C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D7C36"/>
    <w:rPr>
      <w:rFonts w:cs="Times New Roman"/>
      <w:b/>
      <w:lang w:eastAsia="en-US"/>
    </w:rPr>
  </w:style>
  <w:style w:type="character" w:customStyle="1" w:styleId="Cmsor4Char">
    <w:name w:val="Címsor 4 Char"/>
    <w:basedOn w:val="Bekezdsalapbettpusa"/>
    <w:link w:val="Cmsor4"/>
    <w:rsid w:val="008A10AB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Cm">
    <w:name w:val="Title"/>
    <w:basedOn w:val="Norml"/>
    <w:next w:val="Norml"/>
    <w:link w:val="CmChar"/>
    <w:qFormat/>
    <w:locked/>
    <w:rsid w:val="008A1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A10A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J2">
    <w:name w:val="toc 2"/>
    <w:basedOn w:val="Norml"/>
    <w:next w:val="Norml"/>
    <w:autoRedefine/>
    <w:locked/>
    <w:rsid w:val="00426B2D"/>
    <w:pPr>
      <w:spacing w:after="100"/>
      <w:ind w:left="220"/>
    </w:pPr>
    <w:rPr>
      <w:rFonts w:ascii="Times New Roman" w:hAnsi="Times New Roman"/>
      <w:sz w:val="24"/>
    </w:rPr>
  </w:style>
  <w:style w:type="paragraph" w:styleId="Lista2">
    <w:name w:val="List 2"/>
    <w:basedOn w:val="Norml"/>
    <w:rsid w:val="00B87951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D55E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D55E1"/>
    <w:rPr>
      <w:lang w:eastAsia="en-US"/>
    </w:rPr>
  </w:style>
  <w:style w:type="paragraph" w:customStyle="1" w:styleId="Listaszerbekezds1">
    <w:name w:val="Listaszerű bekezdés1"/>
    <w:basedOn w:val="Norml"/>
    <w:rsid w:val="008D55E1"/>
    <w:pPr>
      <w:ind w:left="720"/>
      <w:contextualSpacing/>
    </w:pPr>
    <w:rPr>
      <w:rFonts w:ascii="Constantia" w:eastAsia="Constantia" w:hAnsi="Constantia"/>
    </w:rPr>
  </w:style>
  <w:style w:type="paragraph" w:customStyle="1" w:styleId="Szvegtrzs21">
    <w:name w:val="Szövegtörzs 21"/>
    <w:basedOn w:val="Norml"/>
    <w:rsid w:val="004D6F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l1">
    <w:name w:val="Normál1"/>
    <w:basedOn w:val="Norml"/>
    <w:rsid w:val="004D33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01;rd\statisztika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Káresemények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'Összes bev'!$A$14</c:f>
              <c:strCache>
                <c:ptCount val="1"/>
                <c:pt idx="0">
                  <c:v>Tűzeset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'Összes bev'!$B$13:$F$13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'Összes bev'!$B$14:$F$14</c:f>
              <c:numCache>
                <c:formatCode>General</c:formatCode>
                <c:ptCount val="5"/>
                <c:pt idx="0">
                  <c:v>340</c:v>
                </c:pt>
                <c:pt idx="1">
                  <c:v>333</c:v>
                </c:pt>
                <c:pt idx="2">
                  <c:v>372</c:v>
                </c:pt>
                <c:pt idx="3">
                  <c:v>266</c:v>
                </c:pt>
                <c:pt idx="4">
                  <c:v>340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FC7-4B6F-8EB8-B57A8D8E9AE4}"/>
            </c:ext>
          </c:extLst>
        </c:ser>
        <c:ser>
          <c:idx val="1"/>
          <c:order val="1"/>
          <c:tx>
            <c:strRef>
              <c:f>'Összes bev'!$A$15</c:f>
              <c:strCache>
                <c:ptCount val="1"/>
                <c:pt idx="0">
                  <c:v>Műszaki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'Összes bev'!$B$13:$F$13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'Összes bev'!$B$15:$F$15</c:f>
              <c:numCache>
                <c:formatCode>General</c:formatCode>
                <c:ptCount val="5"/>
                <c:pt idx="0">
                  <c:v>514</c:v>
                </c:pt>
                <c:pt idx="1">
                  <c:v>517</c:v>
                </c:pt>
                <c:pt idx="2">
                  <c:v>582</c:v>
                </c:pt>
                <c:pt idx="3">
                  <c:v>631</c:v>
                </c:pt>
                <c:pt idx="4">
                  <c:v>514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FC7-4B6F-8EB8-B57A8D8E9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7706976"/>
        <c:axId val="-117704256"/>
      </c:lineChart>
      <c:catAx>
        <c:axId val="-11770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4256"/>
        <c:crosses val="autoZero"/>
        <c:auto val="1"/>
        <c:lblAlgn val="ctr"/>
        <c:lblOffset val="100"/>
        <c:noMultiLvlLbl val="0"/>
      </c:catAx>
      <c:valAx>
        <c:axId val="-11770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Érd</a:t>
            </a:r>
            <a:r>
              <a:rPr lang="hu-HU" baseline="0"/>
              <a:t> HTP Beavatkozás módja</a:t>
            </a:r>
            <a:endParaRPr lang="hu-H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'Összes bev'!$A$3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'Összes bev'!$B$2:$F$2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'Összes bev'!$B$3:$F$3</c:f>
              <c:numCache>
                <c:formatCode>General</c:formatCode>
                <c:ptCount val="5"/>
                <c:pt idx="0">
                  <c:v>854</c:v>
                </c:pt>
                <c:pt idx="1">
                  <c:v>178</c:v>
                </c:pt>
                <c:pt idx="2">
                  <c:v>8</c:v>
                </c:pt>
                <c:pt idx="3">
                  <c:v>454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3-4B7C-BA50-3885B845C912}"/>
            </c:ext>
          </c:extLst>
        </c:ser>
        <c:ser>
          <c:idx val="1"/>
          <c:order val="1"/>
          <c:tx>
            <c:strRef>
              <c:f>'Összes bev'!$A$4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'Összes bev'!$B$2:$F$2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'Összes bev'!$B$4:$F$4</c:f>
              <c:numCache>
                <c:formatCode>General</c:formatCode>
                <c:ptCount val="5"/>
                <c:pt idx="0">
                  <c:v>850</c:v>
                </c:pt>
                <c:pt idx="1">
                  <c:v>167</c:v>
                </c:pt>
                <c:pt idx="2">
                  <c:v>2</c:v>
                </c:pt>
                <c:pt idx="3">
                  <c:v>509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3-4B7C-BA50-3885B845C912}"/>
            </c:ext>
          </c:extLst>
        </c:ser>
        <c:ser>
          <c:idx val="2"/>
          <c:order val="2"/>
          <c:tx>
            <c:strRef>
              <c:f>'Összes bev'!$A$5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'Összes bev'!$B$2:$F$2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'Összes bev'!$B$5:$F$5</c:f>
              <c:numCache>
                <c:formatCode>General</c:formatCode>
                <c:ptCount val="5"/>
                <c:pt idx="0">
                  <c:v>955</c:v>
                </c:pt>
                <c:pt idx="1">
                  <c:v>167</c:v>
                </c:pt>
                <c:pt idx="2">
                  <c:v>4</c:v>
                </c:pt>
                <c:pt idx="3">
                  <c:v>480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93-4B7C-BA50-3885B845C912}"/>
            </c:ext>
          </c:extLst>
        </c:ser>
        <c:ser>
          <c:idx val="3"/>
          <c:order val="3"/>
          <c:tx>
            <c:strRef>
              <c:f>'Összes bev'!$A$6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'Összes bev'!$B$2:$F$2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'Összes bev'!$B$6:$F$6</c:f>
              <c:numCache>
                <c:formatCode>General</c:formatCode>
                <c:ptCount val="5"/>
                <c:pt idx="0">
                  <c:v>887</c:v>
                </c:pt>
                <c:pt idx="1">
                  <c:v>134</c:v>
                </c:pt>
                <c:pt idx="2">
                  <c:v>1</c:v>
                </c:pt>
                <c:pt idx="3">
                  <c:v>480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93-4B7C-BA50-3885B845C912}"/>
            </c:ext>
          </c:extLst>
        </c:ser>
        <c:ser>
          <c:idx val="4"/>
          <c:order val="4"/>
          <c:tx>
            <c:strRef>
              <c:f>'Összes bev'!$A$7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'Összes bev'!$B$2:$F$2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'Összes bev'!$B$7:$F$7</c:f>
              <c:numCache>
                <c:formatCode>General</c:formatCode>
                <c:ptCount val="5"/>
                <c:pt idx="0">
                  <c:v>882</c:v>
                </c:pt>
                <c:pt idx="1">
                  <c:v>143</c:v>
                </c:pt>
                <c:pt idx="2">
                  <c:v>3</c:v>
                </c:pt>
                <c:pt idx="3">
                  <c:v>499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93-4B7C-BA50-3885B845C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703712"/>
        <c:axId val="-117710240"/>
      </c:barChart>
      <c:catAx>
        <c:axId val="-11770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10240"/>
        <c:crosses val="autoZero"/>
        <c:auto val="1"/>
        <c:lblAlgn val="ctr"/>
        <c:lblOffset val="100"/>
        <c:noMultiLvlLbl val="0"/>
      </c:catAx>
      <c:valAx>
        <c:axId val="-11771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3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Tűzeset beavatkozások igénye szerint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Tűzeset!$A$4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Tűzeset!$B$3:$F$3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Tűzeset!$B$4:$F$4</c:f>
              <c:numCache>
                <c:formatCode>General</c:formatCode>
                <c:ptCount val="5"/>
                <c:pt idx="0">
                  <c:v>340</c:v>
                </c:pt>
                <c:pt idx="1">
                  <c:v>119</c:v>
                </c:pt>
                <c:pt idx="2">
                  <c:v>5</c:v>
                </c:pt>
                <c:pt idx="3">
                  <c:v>371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18-4F24-B322-EE1A51465E72}"/>
            </c:ext>
          </c:extLst>
        </c:ser>
        <c:ser>
          <c:idx val="1"/>
          <c:order val="1"/>
          <c:tx>
            <c:strRef>
              <c:f>Tűzeset!$A$5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Tűzeset!$B$3:$F$3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Tűzeset!$B$5:$F$5</c:f>
              <c:numCache>
                <c:formatCode>General</c:formatCode>
                <c:ptCount val="5"/>
                <c:pt idx="0">
                  <c:v>333</c:v>
                </c:pt>
                <c:pt idx="1">
                  <c:v>106</c:v>
                </c:pt>
                <c:pt idx="2">
                  <c:v>0</c:v>
                </c:pt>
                <c:pt idx="3">
                  <c:v>426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18-4F24-B322-EE1A51465E72}"/>
            </c:ext>
          </c:extLst>
        </c:ser>
        <c:ser>
          <c:idx val="2"/>
          <c:order val="2"/>
          <c:tx>
            <c:strRef>
              <c:f>Tűzeset!$A$6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Tűzeset!$B$3:$F$3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Tűzeset!$B$6:$F$6</c:f>
              <c:numCache>
                <c:formatCode>General</c:formatCode>
                <c:ptCount val="5"/>
                <c:pt idx="0">
                  <c:v>372</c:v>
                </c:pt>
                <c:pt idx="1">
                  <c:v>112</c:v>
                </c:pt>
                <c:pt idx="2">
                  <c:v>4</c:v>
                </c:pt>
                <c:pt idx="3">
                  <c:v>396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18-4F24-B322-EE1A51465E72}"/>
            </c:ext>
          </c:extLst>
        </c:ser>
        <c:ser>
          <c:idx val="3"/>
          <c:order val="3"/>
          <c:tx>
            <c:strRef>
              <c:f>Tűzeset!$A$7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Tűzeset!$B$3:$F$3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Tűzeset!$B$7:$F$7</c:f>
              <c:numCache>
                <c:formatCode>General</c:formatCode>
                <c:ptCount val="5"/>
                <c:pt idx="0">
                  <c:v>266</c:v>
                </c:pt>
                <c:pt idx="1">
                  <c:v>69</c:v>
                </c:pt>
                <c:pt idx="2">
                  <c:v>1</c:v>
                </c:pt>
                <c:pt idx="3">
                  <c:v>358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18-4F24-B322-EE1A51465E72}"/>
            </c:ext>
          </c:extLst>
        </c:ser>
        <c:ser>
          <c:idx val="4"/>
          <c:order val="4"/>
          <c:tx>
            <c:strRef>
              <c:f>Tűzeset!$A$8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Tűzeset!$B$3:$F$3</c:f>
              <c:strCache>
                <c:ptCount val="5"/>
                <c:pt idx="0">
                  <c:v>Beavatkozást igénylő esemény</c:v>
                </c:pt>
                <c:pt idx="1">
                  <c:v>Kiérkezés előtt felszámolt</c:v>
                </c:pt>
                <c:pt idx="2">
                  <c:v>Szándékosan megtévesztő jelzés</c:v>
                </c:pt>
                <c:pt idx="3">
                  <c:v>Téves jelzés</c:v>
                </c:pt>
                <c:pt idx="4">
                  <c:v>Utólagos jelzés</c:v>
                </c:pt>
              </c:strCache>
            </c:strRef>
          </c:cat>
          <c:val>
            <c:numRef>
              <c:f>Tűzeset!$B$8:$F$8</c:f>
              <c:numCache>
                <c:formatCode>General</c:formatCode>
                <c:ptCount val="5"/>
                <c:pt idx="0">
                  <c:v>294</c:v>
                </c:pt>
                <c:pt idx="1">
                  <c:v>88</c:v>
                </c:pt>
                <c:pt idx="2">
                  <c:v>3</c:v>
                </c:pt>
                <c:pt idx="3">
                  <c:v>328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18-4F24-B322-EE1A51465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709696"/>
        <c:axId val="-117708064"/>
        <c:axId val="0"/>
      </c:bar3DChart>
      <c:catAx>
        <c:axId val="-11770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8064"/>
        <c:crosses val="autoZero"/>
        <c:auto val="1"/>
        <c:lblAlgn val="ctr"/>
        <c:lblOffset val="100"/>
        <c:noMultiLvlLbl val="0"/>
      </c:catAx>
      <c:valAx>
        <c:axId val="-11770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96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Tűzesetek beavatkozás helyszíne szerint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Tűzeset!$B$13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Tűzeset!$A$14:$A$23</c:f>
              <c:strCache>
                <c:ptCount val="10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Közút</c:v>
                </c:pt>
                <c:pt idx="6">
                  <c:v>Mezőgazdasági létesítmény</c:v>
                </c:pt>
                <c:pt idx="7">
                  <c:v>Otthon jellegű létesítmény</c:v>
                </c:pt>
                <c:pt idx="8">
                  <c:v>Szabad terület</c:v>
                </c:pt>
                <c:pt idx="9">
                  <c:v>Tárolási létesítmény</c:v>
                </c:pt>
              </c:strCache>
            </c:strRef>
          </c:cat>
          <c:val>
            <c:numRef>
              <c:f>Tűzeset!$B$14:$B$23</c:f>
              <c:numCache>
                <c:formatCode>General</c:formatCode>
                <c:ptCount val="10"/>
                <c:pt idx="0">
                  <c:v>16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22</c:v>
                </c:pt>
                <c:pt idx="5">
                  <c:v>16</c:v>
                </c:pt>
                <c:pt idx="6">
                  <c:v>7</c:v>
                </c:pt>
                <c:pt idx="7">
                  <c:v>71</c:v>
                </c:pt>
                <c:pt idx="8">
                  <c:v>144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61-49DC-BBCE-1287A106C799}"/>
            </c:ext>
          </c:extLst>
        </c:ser>
        <c:ser>
          <c:idx val="1"/>
          <c:order val="1"/>
          <c:tx>
            <c:strRef>
              <c:f>Tűzeset!$C$13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Tűzeset!$A$14:$A$23</c:f>
              <c:strCache>
                <c:ptCount val="10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Közút</c:v>
                </c:pt>
                <c:pt idx="6">
                  <c:v>Mezőgazdasági létesítmény</c:v>
                </c:pt>
                <c:pt idx="7">
                  <c:v>Otthon jellegű létesítmény</c:v>
                </c:pt>
                <c:pt idx="8">
                  <c:v>Szabad terület</c:v>
                </c:pt>
                <c:pt idx="9">
                  <c:v>Tárolási létesítmény</c:v>
                </c:pt>
              </c:strCache>
            </c:strRef>
          </c:cat>
          <c:val>
            <c:numRef>
              <c:f>Tűzeset!$C$14:$C$23</c:f>
              <c:numCache>
                <c:formatCode>General</c:formatCode>
                <c:ptCount val="10"/>
                <c:pt idx="0">
                  <c:v>16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21</c:v>
                </c:pt>
                <c:pt idx="5">
                  <c:v>28</c:v>
                </c:pt>
                <c:pt idx="6">
                  <c:v>1</c:v>
                </c:pt>
                <c:pt idx="7">
                  <c:v>57</c:v>
                </c:pt>
                <c:pt idx="8">
                  <c:v>119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61-49DC-BBCE-1287A106C799}"/>
            </c:ext>
          </c:extLst>
        </c:ser>
        <c:ser>
          <c:idx val="2"/>
          <c:order val="2"/>
          <c:tx>
            <c:strRef>
              <c:f>Tűzeset!$D$13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Tűzeset!$A$14:$A$23</c:f>
              <c:strCache>
                <c:ptCount val="10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Közút</c:v>
                </c:pt>
                <c:pt idx="6">
                  <c:v>Mezőgazdasági létesítmény</c:v>
                </c:pt>
                <c:pt idx="7">
                  <c:v>Otthon jellegű létesítmény</c:v>
                </c:pt>
                <c:pt idx="8">
                  <c:v>Szabad terület</c:v>
                </c:pt>
                <c:pt idx="9">
                  <c:v>Tárolási létesítmény</c:v>
                </c:pt>
              </c:strCache>
            </c:strRef>
          </c:cat>
          <c:val>
            <c:numRef>
              <c:f>Tűzeset!$D$14:$D$23</c:f>
              <c:numCache>
                <c:formatCode>General</c:formatCode>
                <c:ptCount val="10"/>
                <c:pt idx="0">
                  <c:v>31</c:v>
                </c:pt>
                <c:pt idx="1">
                  <c:v>5</c:v>
                </c:pt>
                <c:pt idx="2">
                  <c:v>7</c:v>
                </c:pt>
                <c:pt idx="3">
                  <c:v>6</c:v>
                </c:pt>
                <c:pt idx="4">
                  <c:v>17</c:v>
                </c:pt>
                <c:pt idx="5">
                  <c:v>16</c:v>
                </c:pt>
                <c:pt idx="6">
                  <c:v>2</c:v>
                </c:pt>
                <c:pt idx="7">
                  <c:v>71</c:v>
                </c:pt>
                <c:pt idx="8">
                  <c:v>209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61-49DC-BBCE-1287A106C799}"/>
            </c:ext>
          </c:extLst>
        </c:ser>
        <c:ser>
          <c:idx val="3"/>
          <c:order val="3"/>
          <c:tx>
            <c:strRef>
              <c:f>Tűzeset!$E$13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Tűzeset!$A$14:$A$23</c:f>
              <c:strCache>
                <c:ptCount val="10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Közút</c:v>
                </c:pt>
                <c:pt idx="6">
                  <c:v>Mezőgazdasági létesítmény</c:v>
                </c:pt>
                <c:pt idx="7">
                  <c:v>Otthon jellegű létesítmény</c:v>
                </c:pt>
                <c:pt idx="8">
                  <c:v>Szabad terület</c:v>
                </c:pt>
                <c:pt idx="9">
                  <c:v>Tárolási létesítmény</c:v>
                </c:pt>
              </c:strCache>
            </c:strRef>
          </c:cat>
          <c:val>
            <c:numRef>
              <c:f>Tűzeset!$E$14:$E$23</c:f>
              <c:numCache>
                <c:formatCode>General</c:formatCode>
                <c:ptCount val="10"/>
                <c:pt idx="0">
                  <c:v>21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26</c:v>
                </c:pt>
                <c:pt idx="5">
                  <c:v>34</c:v>
                </c:pt>
                <c:pt idx="6">
                  <c:v>4</c:v>
                </c:pt>
                <c:pt idx="7">
                  <c:v>62</c:v>
                </c:pt>
                <c:pt idx="8">
                  <c:v>167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61-49DC-BBCE-1287A106C799}"/>
            </c:ext>
          </c:extLst>
        </c:ser>
        <c:ser>
          <c:idx val="4"/>
          <c:order val="4"/>
          <c:tx>
            <c:strRef>
              <c:f>Tűzeset!$F$13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Tűzeset!$A$14:$A$23</c:f>
              <c:strCache>
                <c:ptCount val="10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Közút</c:v>
                </c:pt>
                <c:pt idx="6">
                  <c:v>Mezőgazdasági létesítmény</c:v>
                </c:pt>
                <c:pt idx="7">
                  <c:v>Otthon jellegű létesítmény</c:v>
                </c:pt>
                <c:pt idx="8">
                  <c:v>Szabad terület</c:v>
                </c:pt>
                <c:pt idx="9">
                  <c:v>Tárolási létesítmény</c:v>
                </c:pt>
              </c:strCache>
            </c:strRef>
          </c:cat>
          <c:val>
            <c:numRef>
              <c:f>Tűzeset!$F$14:$F$23</c:f>
              <c:numCache>
                <c:formatCode>General</c:formatCode>
                <c:ptCount val="10"/>
                <c:pt idx="1">
                  <c:v>9</c:v>
                </c:pt>
                <c:pt idx="2">
                  <c:v>3</c:v>
                </c:pt>
                <c:pt idx="3">
                  <c:v>6</c:v>
                </c:pt>
                <c:pt idx="4">
                  <c:v>11</c:v>
                </c:pt>
                <c:pt idx="5">
                  <c:v>17</c:v>
                </c:pt>
                <c:pt idx="6">
                  <c:v>2</c:v>
                </c:pt>
                <c:pt idx="7">
                  <c:v>101</c:v>
                </c:pt>
                <c:pt idx="8">
                  <c:v>140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61-49DC-BBCE-1287A106C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706432"/>
        <c:axId val="-117705888"/>
      </c:barChart>
      <c:catAx>
        <c:axId val="-11770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5888"/>
        <c:crosses val="autoZero"/>
        <c:auto val="1"/>
        <c:lblAlgn val="ctr"/>
        <c:lblOffset val="100"/>
        <c:noMultiLvlLbl val="0"/>
      </c:catAx>
      <c:valAx>
        <c:axId val="-11770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706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Tűzeset Otthon jellegű létesítmények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Tűzeset!$B$28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Tűzeset!$A$29:$A$43</c:f>
              <c:strCache>
                <c:ptCount val="15"/>
                <c:pt idx="0">
                  <c:v>Baracska</c:v>
                </c:pt>
                <c:pt idx="1">
                  <c:v>Biatorbágy</c:v>
                </c:pt>
                <c:pt idx="2">
                  <c:v>Budaörs</c:v>
                </c:pt>
                <c:pt idx="3">
                  <c:v>Diósd</c:v>
                </c:pt>
                <c:pt idx="4">
                  <c:v>Ercsi</c:v>
                </c:pt>
                <c:pt idx="5">
                  <c:v>Érd</c:v>
                </c:pt>
                <c:pt idx="6">
                  <c:v>Martonvásár</c:v>
                </c:pt>
                <c:pt idx="7">
                  <c:v>Páty</c:v>
                </c:pt>
                <c:pt idx="8">
                  <c:v>Ráckeresztúr</c:v>
                </c:pt>
                <c:pt idx="9">
                  <c:v>Sóskút</c:v>
                </c:pt>
                <c:pt idx="10">
                  <c:v>Százhalombatta</c:v>
                </c:pt>
                <c:pt idx="11">
                  <c:v>Tárnok</c:v>
                </c:pt>
                <c:pt idx="12">
                  <c:v>Tordas</c:v>
                </c:pt>
                <c:pt idx="13">
                  <c:v>Törökbálint</c:v>
                </c:pt>
                <c:pt idx="14">
                  <c:v>Vál</c:v>
                </c:pt>
              </c:strCache>
            </c:strRef>
          </c:cat>
          <c:val>
            <c:numRef>
              <c:f>Tűzeset!$B$29:$B$43</c:f>
              <c:numCache>
                <c:formatCode>General</c:formatCode>
                <c:ptCount val="15"/>
                <c:pt idx="0">
                  <c:v>2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25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8</c:v>
                </c:pt>
                <c:pt idx="12">
                  <c:v>1</c:v>
                </c:pt>
                <c:pt idx="13">
                  <c:v>8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40-41FE-8367-55271B0EA18F}"/>
            </c:ext>
          </c:extLst>
        </c:ser>
        <c:ser>
          <c:idx val="1"/>
          <c:order val="1"/>
          <c:tx>
            <c:strRef>
              <c:f>Tűzeset!$C$28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Tűzeset!$A$29:$A$43</c:f>
              <c:strCache>
                <c:ptCount val="15"/>
                <c:pt idx="0">
                  <c:v>Baracska</c:v>
                </c:pt>
                <c:pt idx="1">
                  <c:v>Biatorbágy</c:v>
                </c:pt>
                <c:pt idx="2">
                  <c:v>Budaörs</c:v>
                </c:pt>
                <c:pt idx="3">
                  <c:v>Diósd</c:v>
                </c:pt>
                <c:pt idx="4">
                  <c:v>Ercsi</c:v>
                </c:pt>
                <c:pt idx="5">
                  <c:v>Érd</c:v>
                </c:pt>
                <c:pt idx="6">
                  <c:v>Martonvásár</c:v>
                </c:pt>
                <c:pt idx="7">
                  <c:v>Páty</c:v>
                </c:pt>
                <c:pt idx="8">
                  <c:v>Ráckeresztúr</c:v>
                </c:pt>
                <c:pt idx="9">
                  <c:v>Sóskút</c:v>
                </c:pt>
                <c:pt idx="10">
                  <c:v>Százhalombatta</c:v>
                </c:pt>
                <c:pt idx="11">
                  <c:v>Tárnok</c:v>
                </c:pt>
                <c:pt idx="12">
                  <c:v>Tordas</c:v>
                </c:pt>
                <c:pt idx="13">
                  <c:v>Törökbálint</c:v>
                </c:pt>
                <c:pt idx="14">
                  <c:v>Vál</c:v>
                </c:pt>
              </c:strCache>
            </c:strRef>
          </c:cat>
          <c:val>
            <c:numRef>
              <c:f>Tűzeset!$C$29:$C$43</c:f>
              <c:numCache>
                <c:formatCode>General</c:formatCode>
                <c:ptCount val="15"/>
                <c:pt idx="0">
                  <c:v>0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19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40-41FE-8367-55271B0EA1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398448"/>
        <c:axId val="-117396272"/>
      </c:barChart>
      <c:catAx>
        <c:axId val="-11739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396272"/>
        <c:crosses val="autoZero"/>
        <c:auto val="1"/>
        <c:lblAlgn val="ctr"/>
        <c:lblOffset val="100"/>
        <c:noMultiLvlLbl val="0"/>
      </c:catAx>
      <c:valAx>
        <c:axId val="-1173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398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Műszaki mentés beavatkozás  igénye</a:t>
            </a:r>
            <a:r>
              <a:rPr lang="hu-HU" baseline="0"/>
              <a:t> </a:t>
            </a:r>
            <a:r>
              <a:rPr lang="hu-HU"/>
              <a:t>szerint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Műszaki!$A$3</c:f>
              <c:strCache>
                <c:ptCount val="1"/>
                <c:pt idx="0">
                  <c:v>Beavatkozást igénylő esemény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Műszaki!$B$2:$G$2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Műszaki!$B$3:$G$3</c:f>
              <c:numCache>
                <c:formatCode>General</c:formatCode>
                <c:ptCount val="6"/>
                <c:pt idx="0">
                  <c:v>588</c:v>
                </c:pt>
                <c:pt idx="1">
                  <c:v>631</c:v>
                </c:pt>
                <c:pt idx="2">
                  <c:v>582</c:v>
                </c:pt>
                <c:pt idx="3">
                  <c:v>517</c:v>
                </c:pt>
                <c:pt idx="4">
                  <c:v>514</c:v>
                </c:pt>
                <c:pt idx="5">
                  <c:v>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F4-437D-8DCE-6A1D56A767F3}"/>
            </c:ext>
          </c:extLst>
        </c:ser>
        <c:ser>
          <c:idx val="1"/>
          <c:order val="1"/>
          <c:tx>
            <c:strRef>
              <c:f>Műszaki!$A$4</c:f>
              <c:strCache>
                <c:ptCount val="1"/>
                <c:pt idx="0">
                  <c:v>Kiérkezés előtt felszámolt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Műszaki!$B$2:$G$2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Műszaki!$B$4:$G$4</c:f>
              <c:numCache>
                <c:formatCode>General</c:formatCode>
                <c:ptCount val="6"/>
                <c:pt idx="0">
                  <c:v>55</c:v>
                </c:pt>
                <c:pt idx="1">
                  <c:v>65</c:v>
                </c:pt>
                <c:pt idx="2">
                  <c:v>55</c:v>
                </c:pt>
                <c:pt idx="3">
                  <c:v>61</c:v>
                </c:pt>
                <c:pt idx="4">
                  <c:v>59</c:v>
                </c:pt>
                <c:pt idx="5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F4-437D-8DCE-6A1D56A767F3}"/>
            </c:ext>
          </c:extLst>
        </c:ser>
        <c:ser>
          <c:idx val="2"/>
          <c:order val="2"/>
          <c:tx>
            <c:strRef>
              <c:f>Műszaki!$A$5</c:f>
              <c:strCache>
                <c:ptCount val="1"/>
                <c:pt idx="0">
                  <c:v>Téves jelzés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Műszaki!$B$2:$G$2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Műszaki!$B$5:$G$5</c:f>
              <c:numCache>
                <c:formatCode>General</c:formatCode>
                <c:ptCount val="6"/>
                <c:pt idx="0">
                  <c:v>171</c:v>
                </c:pt>
                <c:pt idx="1">
                  <c:v>122</c:v>
                </c:pt>
                <c:pt idx="2">
                  <c:v>84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F4-437D-8DCE-6A1D56A767F3}"/>
            </c:ext>
          </c:extLst>
        </c:ser>
        <c:ser>
          <c:idx val="3"/>
          <c:order val="3"/>
          <c:tx>
            <c:strRef>
              <c:f>Műszaki!$A$6</c:f>
              <c:strCache>
                <c:ptCount val="1"/>
                <c:pt idx="0">
                  <c:v>Utólagos jelzés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Műszaki!$B$2:$G$2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Műszaki!$B$6:$G$6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86</c:v>
                </c:pt>
                <c:pt idx="4">
                  <c:v>83</c:v>
                </c:pt>
                <c:pt idx="5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F4-437D-8DCE-6A1D56A76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400080"/>
        <c:axId val="-117397360"/>
      </c:barChart>
      <c:catAx>
        <c:axId val="-11740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397360"/>
        <c:crosses val="autoZero"/>
        <c:auto val="1"/>
        <c:lblAlgn val="ctr"/>
        <c:lblOffset val="100"/>
        <c:noMultiLvlLbl val="0"/>
      </c:catAx>
      <c:valAx>
        <c:axId val="-11739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400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Műszaki mentés káreset fajta</a:t>
            </a:r>
            <a:r>
              <a:rPr lang="hu-HU" baseline="0"/>
              <a:t> igénye szerint</a:t>
            </a:r>
            <a:endParaRPr lang="hu-H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Műszaki!$L$23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Műszaki!$K$24:$K$44</c:f>
              <c:strCache>
                <c:ptCount val="21"/>
                <c:pt idx="0">
                  <c:v>Állatbaleset</c:v>
                </c:pt>
                <c:pt idx="2">
                  <c:v>Baleset mélyben</c:v>
                </c:pt>
                <c:pt idx="3">
                  <c:v>Egyéb</c:v>
                </c:pt>
                <c:pt idx="4">
                  <c:v>Elemi csapás - viharkár</c:v>
                </c:pt>
                <c:pt idx="5">
                  <c:v>Életmentés</c:v>
                </c:pt>
                <c:pt idx="6">
                  <c:v>Eltünt személy keresése</c:v>
                </c:pt>
                <c:pt idx="7">
                  <c:v>Épületomlás, magasépület baleset</c:v>
                </c:pt>
                <c:pt idx="8">
                  <c:v>Fa kidőlés</c:v>
                </c:pt>
                <c:pt idx="9">
                  <c:v>Gázszivárgás</c:v>
                </c:pt>
                <c:pt idx="10">
                  <c:v>Halott kiemelés</c:v>
                </c:pt>
                <c:pt idx="11">
                  <c:v>Közlekedési eszközből kifolyt üzemanyag</c:v>
                </c:pt>
                <c:pt idx="12">
                  <c:v>Közúti baleset</c:v>
                </c:pt>
                <c:pt idx="13">
                  <c:v>Omlásveszély</c:v>
                </c:pt>
                <c:pt idx="14">
                  <c:v>Sérült mentése</c:v>
                </c:pt>
                <c:pt idx="15">
                  <c:v>Szén-monoxid szivárgás</c:v>
                </c:pt>
                <c:pt idx="16">
                  <c:v>Technológiai meghibásodás</c:v>
                </c:pt>
                <c:pt idx="17">
                  <c:v>Vasúti, mozdony baleset</c:v>
                </c:pt>
                <c:pt idx="18">
                  <c:v>Veszélyes anyagok</c:v>
                </c:pt>
                <c:pt idx="19">
                  <c:v>Vízibaleset, jégről mentés</c:v>
                </c:pt>
                <c:pt idx="20">
                  <c:v>Vízkárok</c:v>
                </c:pt>
              </c:strCache>
            </c:strRef>
          </c:cat>
          <c:val>
            <c:numRef>
              <c:f>Műszaki!$L$24:$L$44</c:f>
              <c:numCache>
                <c:formatCode>General</c:formatCode>
                <c:ptCount val="21"/>
                <c:pt idx="0">
                  <c:v>9</c:v>
                </c:pt>
                <c:pt idx="2">
                  <c:v>1</c:v>
                </c:pt>
                <c:pt idx="3">
                  <c:v>116</c:v>
                </c:pt>
                <c:pt idx="4">
                  <c:v>17</c:v>
                </c:pt>
                <c:pt idx="5">
                  <c:v>20</c:v>
                </c:pt>
                <c:pt idx="6">
                  <c:v>1</c:v>
                </c:pt>
                <c:pt idx="7">
                  <c:v>2</c:v>
                </c:pt>
                <c:pt idx="8">
                  <c:v>91</c:v>
                </c:pt>
                <c:pt idx="9">
                  <c:v>10</c:v>
                </c:pt>
                <c:pt idx="10">
                  <c:v>1</c:v>
                </c:pt>
                <c:pt idx="11">
                  <c:v>2</c:v>
                </c:pt>
                <c:pt idx="12">
                  <c:v>166</c:v>
                </c:pt>
                <c:pt idx="14">
                  <c:v>15</c:v>
                </c:pt>
                <c:pt idx="15">
                  <c:v>9</c:v>
                </c:pt>
                <c:pt idx="16">
                  <c:v>0</c:v>
                </c:pt>
                <c:pt idx="17">
                  <c:v>5</c:v>
                </c:pt>
                <c:pt idx="18">
                  <c:v>0</c:v>
                </c:pt>
                <c:pt idx="19">
                  <c:v>1</c:v>
                </c:pt>
                <c:pt idx="2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97-4D38-AA5E-6D151E37A5D3}"/>
            </c:ext>
          </c:extLst>
        </c:ser>
        <c:ser>
          <c:idx val="1"/>
          <c:order val="1"/>
          <c:tx>
            <c:strRef>
              <c:f>Műszaki!$M$23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Műszaki!$K$24:$K$44</c:f>
              <c:strCache>
                <c:ptCount val="21"/>
                <c:pt idx="0">
                  <c:v>Állatbaleset</c:v>
                </c:pt>
                <c:pt idx="2">
                  <c:v>Baleset mélyben</c:v>
                </c:pt>
                <c:pt idx="3">
                  <c:v>Egyéb</c:v>
                </c:pt>
                <c:pt idx="4">
                  <c:v>Elemi csapás - viharkár</c:v>
                </c:pt>
                <c:pt idx="5">
                  <c:v>Életmentés</c:v>
                </c:pt>
                <c:pt idx="6">
                  <c:v>Eltünt személy keresése</c:v>
                </c:pt>
                <c:pt idx="7">
                  <c:v>Épületomlás, magasépület baleset</c:v>
                </c:pt>
                <c:pt idx="8">
                  <c:v>Fa kidőlés</c:v>
                </c:pt>
                <c:pt idx="9">
                  <c:v>Gázszivárgás</c:v>
                </c:pt>
                <c:pt idx="10">
                  <c:v>Halott kiemelés</c:v>
                </c:pt>
                <c:pt idx="11">
                  <c:v>Közlekedési eszközből kifolyt üzemanyag</c:v>
                </c:pt>
                <c:pt idx="12">
                  <c:v>Közúti baleset</c:v>
                </c:pt>
                <c:pt idx="13">
                  <c:v>Omlásveszély</c:v>
                </c:pt>
                <c:pt idx="14">
                  <c:v>Sérült mentése</c:v>
                </c:pt>
                <c:pt idx="15">
                  <c:v>Szén-monoxid szivárgás</c:v>
                </c:pt>
                <c:pt idx="16">
                  <c:v>Technológiai meghibásodás</c:v>
                </c:pt>
                <c:pt idx="17">
                  <c:v>Vasúti, mozdony baleset</c:v>
                </c:pt>
                <c:pt idx="18">
                  <c:v>Veszélyes anyagok</c:v>
                </c:pt>
                <c:pt idx="19">
                  <c:v>Vízibaleset, jégről mentés</c:v>
                </c:pt>
                <c:pt idx="20">
                  <c:v>Vízkárok</c:v>
                </c:pt>
              </c:strCache>
            </c:strRef>
          </c:cat>
          <c:val>
            <c:numRef>
              <c:f>Műszaki!$M$24:$M$44</c:f>
              <c:numCache>
                <c:formatCode>General</c:formatCode>
                <c:ptCount val="21"/>
                <c:pt idx="0">
                  <c:v>17</c:v>
                </c:pt>
                <c:pt idx="2">
                  <c:v>1</c:v>
                </c:pt>
                <c:pt idx="3">
                  <c:v>63</c:v>
                </c:pt>
                <c:pt idx="4">
                  <c:v>71</c:v>
                </c:pt>
                <c:pt idx="5">
                  <c:v>13</c:v>
                </c:pt>
                <c:pt idx="6">
                  <c:v>1</c:v>
                </c:pt>
                <c:pt idx="7">
                  <c:v>2</c:v>
                </c:pt>
                <c:pt idx="8">
                  <c:v>152</c:v>
                </c:pt>
                <c:pt idx="9">
                  <c:v>16</c:v>
                </c:pt>
                <c:pt idx="10">
                  <c:v>1</c:v>
                </c:pt>
                <c:pt idx="11">
                  <c:v>2</c:v>
                </c:pt>
                <c:pt idx="12">
                  <c:v>220</c:v>
                </c:pt>
                <c:pt idx="13">
                  <c:v>2</c:v>
                </c:pt>
                <c:pt idx="14">
                  <c:v>15</c:v>
                </c:pt>
                <c:pt idx="15">
                  <c:v>15</c:v>
                </c:pt>
                <c:pt idx="16">
                  <c:v>1</c:v>
                </c:pt>
                <c:pt idx="17">
                  <c:v>1</c:v>
                </c:pt>
                <c:pt idx="18">
                  <c:v>3</c:v>
                </c:pt>
                <c:pt idx="19">
                  <c:v>1</c:v>
                </c:pt>
                <c:pt idx="2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97-4D38-AA5E-6D151E37A5D3}"/>
            </c:ext>
          </c:extLst>
        </c:ser>
        <c:ser>
          <c:idx val="2"/>
          <c:order val="2"/>
          <c:tx>
            <c:strRef>
              <c:f>Műszaki!$N$23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Műszaki!$K$24:$K$44</c:f>
              <c:strCache>
                <c:ptCount val="21"/>
                <c:pt idx="0">
                  <c:v>Állatbaleset</c:v>
                </c:pt>
                <c:pt idx="2">
                  <c:v>Baleset mélyben</c:v>
                </c:pt>
                <c:pt idx="3">
                  <c:v>Egyéb</c:v>
                </c:pt>
                <c:pt idx="4">
                  <c:v>Elemi csapás - viharkár</c:v>
                </c:pt>
                <c:pt idx="5">
                  <c:v>Életmentés</c:v>
                </c:pt>
                <c:pt idx="6">
                  <c:v>Eltünt személy keresése</c:v>
                </c:pt>
                <c:pt idx="7">
                  <c:v>Épületomlás, magasépület baleset</c:v>
                </c:pt>
                <c:pt idx="8">
                  <c:v>Fa kidőlés</c:v>
                </c:pt>
                <c:pt idx="9">
                  <c:v>Gázszivárgás</c:v>
                </c:pt>
                <c:pt idx="10">
                  <c:v>Halott kiemelés</c:v>
                </c:pt>
                <c:pt idx="11">
                  <c:v>Közlekedési eszközből kifolyt üzemanyag</c:v>
                </c:pt>
                <c:pt idx="12">
                  <c:v>Közúti baleset</c:v>
                </c:pt>
                <c:pt idx="13">
                  <c:v>Omlásveszély</c:v>
                </c:pt>
                <c:pt idx="14">
                  <c:v>Sérült mentése</c:v>
                </c:pt>
                <c:pt idx="15">
                  <c:v>Szén-monoxid szivárgás</c:v>
                </c:pt>
                <c:pt idx="16">
                  <c:v>Technológiai meghibásodás</c:v>
                </c:pt>
                <c:pt idx="17">
                  <c:v>Vasúti, mozdony baleset</c:v>
                </c:pt>
                <c:pt idx="18">
                  <c:v>Veszélyes anyagok</c:v>
                </c:pt>
                <c:pt idx="19">
                  <c:v>Vízibaleset, jégről mentés</c:v>
                </c:pt>
                <c:pt idx="20">
                  <c:v>Vízkárok</c:v>
                </c:pt>
              </c:strCache>
            </c:strRef>
          </c:cat>
          <c:val>
            <c:numRef>
              <c:f>Műszaki!$N$24:$N$44</c:f>
              <c:numCache>
                <c:formatCode>General</c:formatCode>
                <c:ptCount val="21"/>
                <c:pt idx="0">
                  <c:v>11</c:v>
                </c:pt>
                <c:pt idx="2">
                  <c:v>2</c:v>
                </c:pt>
                <c:pt idx="3">
                  <c:v>89</c:v>
                </c:pt>
                <c:pt idx="4">
                  <c:v>49</c:v>
                </c:pt>
                <c:pt idx="5">
                  <c:v>8</c:v>
                </c:pt>
                <c:pt idx="7">
                  <c:v>3</c:v>
                </c:pt>
                <c:pt idx="8">
                  <c:v>106</c:v>
                </c:pt>
                <c:pt idx="9">
                  <c:v>16</c:v>
                </c:pt>
                <c:pt idx="11">
                  <c:v>4</c:v>
                </c:pt>
                <c:pt idx="12">
                  <c:v>248</c:v>
                </c:pt>
                <c:pt idx="13">
                  <c:v>1</c:v>
                </c:pt>
                <c:pt idx="14">
                  <c:v>9</c:v>
                </c:pt>
                <c:pt idx="15">
                  <c:v>9</c:v>
                </c:pt>
                <c:pt idx="16">
                  <c:v>2</c:v>
                </c:pt>
                <c:pt idx="17">
                  <c:v>7</c:v>
                </c:pt>
                <c:pt idx="19">
                  <c:v>2</c:v>
                </c:pt>
                <c:pt idx="2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97-4D38-AA5E-6D151E37A5D3}"/>
            </c:ext>
          </c:extLst>
        </c:ser>
        <c:ser>
          <c:idx val="3"/>
          <c:order val="3"/>
          <c:tx>
            <c:strRef>
              <c:f>Műszaki!$O$23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Műszaki!$K$24:$K$44</c:f>
              <c:strCache>
                <c:ptCount val="21"/>
                <c:pt idx="0">
                  <c:v>Állatbaleset</c:v>
                </c:pt>
                <c:pt idx="2">
                  <c:v>Baleset mélyben</c:v>
                </c:pt>
                <c:pt idx="3">
                  <c:v>Egyéb</c:v>
                </c:pt>
                <c:pt idx="4">
                  <c:v>Elemi csapás - viharkár</c:v>
                </c:pt>
                <c:pt idx="5">
                  <c:v>Életmentés</c:v>
                </c:pt>
                <c:pt idx="6">
                  <c:v>Eltünt személy keresése</c:v>
                </c:pt>
                <c:pt idx="7">
                  <c:v>Épületomlás, magasépület baleset</c:v>
                </c:pt>
                <c:pt idx="8">
                  <c:v>Fa kidőlés</c:v>
                </c:pt>
                <c:pt idx="9">
                  <c:v>Gázszivárgás</c:v>
                </c:pt>
                <c:pt idx="10">
                  <c:v>Halott kiemelés</c:v>
                </c:pt>
                <c:pt idx="11">
                  <c:v>Közlekedési eszközből kifolyt üzemanyag</c:v>
                </c:pt>
                <c:pt idx="12">
                  <c:v>Közúti baleset</c:v>
                </c:pt>
                <c:pt idx="13">
                  <c:v>Omlásveszély</c:v>
                </c:pt>
                <c:pt idx="14">
                  <c:v>Sérült mentése</c:v>
                </c:pt>
                <c:pt idx="15">
                  <c:v>Szén-monoxid szivárgás</c:v>
                </c:pt>
                <c:pt idx="16">
                  <c:v>Technológiai meghibásodás</c:v>
                </c:pt>
                <c:pt idx="17">
                  <c:v>Vasúti, mozdony baleset</c:v>
                </c:pt>
                <c:pt idx="18">
                  <c:v>Veszélyes anyagok</c:v>
                </c:pt>
                <c:pt idx="19">
                  <c:v>Vízibaleset, jégről mentés</c:v>
                </c:pt>
                <c:pt idx="20">
                  <c:v>Vízkárok</c:v>
                </c:pt>
              </c:strCache>
            </c:strRef>
          </c:cat>
          <c:val>
            <c:numRef>
              <c:f>Műszaki!$O$24:$O$44</c:f>
              <c:numCache>
                <c:formatCode>General</c:formatCode>
                <c:ptCount val="21"/>
                <c:pt idx="0">
                  <c:v>11</c:v>
                </c:pt>
                <c:pt idx="2">
                  <c:v>1</c:v>
                </c:pt>
                <c:pt idx="3">
                  <c:v>88</c:v>
                </c:pt>
                <c:pt idx="4">
                  <c:v>30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71</c:v>
                </c:pt>
                <c:pt idx="9">
                  <c:v>17</c:v>
                </c:pt>
                <c:pt idx="10">
                  <c:v>3</c:v>
                </c:pt>
                <c:pt idx="11">
                  <c:v>3</c:v>
                </c:pt>
                <c:pt idx="12">
                  <c:v>216</c:v>
                </c:pt>
                <c:pt idx="13">
                  <c:v>3</c:v>
                </c:pt>
                <c:pt idx="14">
                  <c:v>20</c:v>
                </c:pt>
                <c:pt idx="15">
                  <c:v>13</c:v>
                </c:pt>
                <c:pt idx="16">
                  <c:v>1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97-4D38-AA5E-6D151E37A5D3}"/>
            </c:ext>
          </c:extLst>
        </c:ser>
        <c:ser>
          <c:idx val="4"/>
          <c:order val="4"/>
          <c:tx>
            <c:strRef>
              <c:f>Műszaki!$P$23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Műszaki!$K$24:$K$44</c:f>
              <c:strCache>
                <c:ptCount val="21"/>
                <c:pt idx="0">
                  <c:v>Állatbaleset</c:v>
                </c:pt>
                <c:pt idx="2">
                  <c:v>Baleset mélyben</c:v>
                </c:pt>
                <c:pt idx="3">
                  <c:v>Egyéb</c:v>
                </c:pt>
                <c:pt idx="4">
                  <c:v>Elemi csapás - viharkár</c:v>
                </c:pt>
                <c:pt idx="5">
                  <c:v>Életmentés</c:v>
                </c:pt>
                <c:pt idx="6">
                  <c:v>Eltünt személy keresése</c:v>
                </c:pt>
                <c:pt idx="7">
                  <c:v>Épületomlás, magasépület baleset</c:v>
                </c:pt>
                <c:pt idx="8">
                  <c:v>Fa kidőlés</c:v>
                </c:pt>
                <c:pt idx="9">
                  <c:v>Gázszivárgás</c:v>
                </c:pt>
                <c:pt idx="10">
                  <c:v>Halott kiemelés</c:v>
                </c:pt>
                <c:pt idx="11">
                  <c:v>Közlekedési eszközből kifolyt üzemanyag</c:v>
                </c:pt>
                <c:pt idx="12">
                  <c:v>Közúti baleset</c:v>
                </c:pt>
                <c:pt idx="13">
                  <c:v>Omlásveszély</c:v>
                </c:pt>
                <c:pt idx="14">
                  <c:v>Sérült mentése</c:v>
                </c:pt>
                <c:pt idx="15">
                  <c:v>Szén-monoxid szivárgás</c:v>
                </c:pt>
                <c:pt idx="16">
                  <c:v>Technológiai meghibásodás</c:v>
                </c:pt>
                <c:pt idx="17">
                  <c:v>Vasúti, mozdony baleset</c:v>
                </c:pt>
                <c:pt idx="18">
                  <c:v>Veszélyes anyagok</c:v>
                </c:pt>
                <c:pt idx="19">
                  <c:v>Vízibaleset, jégről mentés</c:v>
                </c:pt>
                <c:pt idx="20">
                  <c:v>Vízkárok</c:v>
                </c:pt>
              </c:strCache>
            </c:strRef>
          </c:cat>
          <c:val>
            <c:numRef>
              <c:f>Műszaki!$P$24:$P$44</c:f>
              <c:numCache>
                <c:formatCode>General</c:formatCode>
                <c:ptCount val="21"/>
                <c:pt idx="0">
                  <c:v>2</c:v>
                </c:pt>
                <c:pt idx="2">
                  <c:v>3</c:v>
                </c:pt>
                <c:pt idx="3">
                  <c:v>68</c:v>
                </c:pt>
                <c:pt idx="4">
                  <c:v>78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94</c:v>
                </c:pt>
                <c:pt idx="9">
                  <c:v>20</c:v>
                </c:pt>
                <c:pt idx="10">
                  <c:v>2</c:v>
                </c:pt>
                <c:pt idx="11">
                  <c:v>3</c:v>
                </c:pt>
                <c:pt idx="12">
                  <c:v>178</c:v>
                </c:pt>
                <c:pt idx="14">
                  <c:v>15</c:v>
                </c:pt>
                <c:pt idx="15">
                  <c:v>14</c:v>
                </c:pt>
                <c:pt idx="16">
                  <c:v>3</c:v>
                </c:pt>
                <c:pt idx="17">
                  <c:v>3</c:v>
                </c:pt>
                <c:pt idx="18">
                  <c:v>1</c:v>
                </c:pt>
                <c:pt idx="19">
                  <c:v>1</c:v>
                </c:pt>
                <c:pt idx="2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97-4D38-AA5E-6D151E37A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403344"/>
        <c:axId val="-117402256"/>
      </c:barChart>
      <c:catAx>
        <c:axId val="-11740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402256"/>
        <c:crosses val="autoZero"/>
        <c:auto val="1"/>
        <c:lblAlgn val="ctr"/>
        <c:lblOffset val="100"/>
        <c:noMultiLvlLbl val="0"/>
      </c:catAx>
      <c:valAx>
        <c:axId val="-11740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40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Műszaki mentés helyszíni igény szerint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Műszaki!$B$44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Műszaki!$A$45:$A$56</c:f>
              <c:strCache>
                <c:ptCount val="12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Közlekedési létesítmény</c:v>
                </c:pt>
                <c:pt idx="6">
                  <c:v>Közút</c:v>
                </c:pt>
                <c:pt idx="7">
                  <c:v>Nevelési-, oktatási létesítmény</c:v>
                </c:pt>
                <c:pt idx="8">
                  <c:v>Otthon jellegű létesítmény</c:v>
                </c:pt>
                <c:pt idx="9">
                  <c:v>Szabad terület</c:v>
                </c:pt>
                <c:pt idx="10">
                  <c:v>Szálloda jellegű létesítmény</c:v>
                </c:pt>
                <c:pt idx="11">
                  <c:v>Tárolási létesítmény</c:v>
                </c:pt>
              </c:strCache>
            </c:strRef>
          </c:cat>
          <c:val>
            <c:numRef>
              <c:f>Műszaki!$B$45:$B$56</c:f>
              <c:numCache>
                <c:formatCode>General</c:formatCode>
                <c:ptCount val="12"/>
                <c:pt idx="0">
                  <c:v>32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62</c:v>
                </c:pt>
                <c:pt idx="5">
                  <c:v>16</c:v>
                </c:pt>
                <c:pt idx="6">
                  <c:v>253</c:v>
                </c:pt>
                <c:pt idx="7">
                  <c:v>2</c:v>
                </c:pt>
                <c:pt idx="8">
                  <c:v>142</c:v>
                </c:pt>
                <c:pt idx="9">
                  <c:v>72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F8-4CCE-8B9D-756F817A7952}"/>
            </c:ext>
          </c:extLst>
        </c:ser>
        <c:ser>
          <c:idx val="1"/>
          <c:order val="1"/>
          <c:tx>
            <c:strRef>
              <c:f>Műszaki!$C$44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Műszaki!$A$45:$A$56</c:f>
              <c:strCache>
                <c:ptCount val="12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Közlekedési létesítmény</c:v>
                </c:pt>
                <c:pt idx="6">
                  <c:v>Közút</c:v>
                </c:pt>
                <c:pt idx="7">
                  <c:v>Nevelési-, oktatási létesítmény</c:v>
                </c:pt>
                <c:pt idx="8">
                  <c:v>Otthon jellegű létesítmény</c:v>
                </c:pt>
                <c:pt idx="9">
                  <c:v>Szabad terület</c:v>
                </c:pt>
                <c:pt idx="10">
                  <c:v>Szálloda jellegű létesítmény</c:v>
                </c:pt>
                <c:pt idx="11">
                  <c:v>Tárolási létesítmény</c:v>
                </c:pt>
              </c:strCache>
            </c:strRef>
          </c:cat>
          <c:val>
            <c:numRef>
              <c:f>Műszaki!$C$45:$C$56</c:f>
              <c:numCache>
                <c:formatCode>General</c:formatCode>
                <c:ptCount val="12"/>
                <c:pt idx="0">
                  <c:v>30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38</c:v>
                </c:pt>
                <c:pt idx="5">
                  <c:v>9</c:v>
                </c:pt>
                <c:pt idx="6">
                  <c:v>268</c:v>
                </c:pt>
                <c:pt idx="7">
                  <c:v>2</c:v>
                </c:pt>
                <c:pt idx="8">
                  <c:v>168</c:v>
                </c:pt>
                <c:pt idx="9">
                  <c:v>96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F8-4CCE-8B9D-756F817A7952}"/>
            </c:ext>
          </c:extLst>
        </c:ser>
        <c:ser>
          <c:idx val="2"/>
          <c:order val="2"/>
          <c:tx>
            <c:strRef>
              <c:f>Műszaki!$D$44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Műszaki!$A$45:$A$56</c:f>
              <c:strCache>
                <c:ptCount val="12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Közlekedési létesítmény</c:v>
                </c:pt>
                <c:pt idx="6">
                  <c:v>Közút</c:v>
                </c:pt>
                <c:pt idx="7">
                  <c:v>Nevelési-, oktatási létesítmény</c:v>
                </c:pt>
                <c:pt idx="8">
                  <c:v>Otthon jellegű létesítmény</c:v>
                </c:pt>
                <c:pt idx="9">
                  <c:v>Szabad terület</c:v>
                </c:pt>
                <c:pt idx="10">
                  <c:v>Szálloda jellegű létesítmény</c:v>
                </c:pt>
                <c:pt idx="11">
                  <c:v>Tárolási létesítmény</c:v>
                </c:pt>
              </c:strCache>
            </c:strRef>
          </c:cat>
          <c:val>
            <c:numRef>
              <c:f>Műszaki!$D$45:$D$56</c:f>
              <c:numCache>
                <c:formatCode>General</c:formatCode>
                <c:ptCount val="12"/>
                <c:pt idx="0">
                  <c:v>20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72</c:v>
                </c:pt>
                <c:pt idx="5">
                  <c:v>11</c:v>
                </c:pt>
                <c:pt idx="6">
                  <c:v>239</c:v>
                </c:pt>
                <c:pt idx="7">
                  <c:v>5</c:v>
                </c:pt>
                <c:pt idx="8">
                  <c:v>154</c:v>
                </c:pt>
                <c:pt idx="9">
                  <c:v>71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F8-4CCE-8B9D-756F817A7952}"/>
            </c:ext>
          </c:extLst>
        </c:ser>
        <c:ser>
          <c:idx val="3"/>
          <c:order val="3"/>
          <c:tx>
            <c:strRef>
              <c:f>Műszaki!$E$44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Műszaki!$A$45:$A$56</c:f>
              <c:strCache>
                <c:ptCount val="12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Közlekedési létesítmény</c:v>
                </c:pt>
                <c:pt idx="6">
                  <c:v>Közút</c:v>
                </c:pt>
                <c:pt idx="7">
                  <c:v>Nevelési-, oktatási létesítmény</c:v>
                </c:pt>
                <c:pt idx="8">
                  <c:v>Otthon jellegű létesítmény</c:v>
                </c:pt>
                <c:pt idx="9">
                  <c:v>Szabad terület</c:v>
                </c:pt>
                <c:pt idx="10">
                  <c:v>Szálloda jellegű létesítmény</c:v>
                </c:pt>
                <c:pt idx="11">
                  <c:v>Tárolási létesítmény</c:v>
                </c:pt>
              </c:strCache>
            </c:strRef>
          </c:cat>
          <c:val>
            <c:numRef>
              <c:f>Műszaki!$E$45:$E$56</c:f>
              <c:numCache>
                <c:formatCode>General</c:formatCode>
                <c:ptCount val="12"/>
                <c:pt idx="0">
                  <c:v>29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  <c:pt idx="4">
                  <c:v>55</c:v>
                </c:pt>
                <c:pt idx="5">
                  <c:v>12</c:v>
                </c:pt>
                <c:pt idx="6">
                  <c:v>205</c:v>
                </c:pt>
                <c:pt idx="7">
                  <c:v>3</c:v>
                </c:pt>
                <c:pt idx="8">
                  <c:v>165</c:v>
                </c:pt>
                <c:pt idx="9">
                  <c:v>35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F8-4CCE-8B9D-756F817A7952}"/>
            </c:ext>
          </c:extLst>
        </c:ser>
        <c:ser>
          <c:idx val="4"/>
          <c:order val="4"/>
          <c:tx>
            <c:strRef>
              <c:f>Műszaki!$F$44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Műszaki!$A$45:$A$56</c:f>
              <c:strCache>
                <c:ptCount val="12"/>
                <c:pt idx="0">
                  <c:v>Egyéb</c:v>
                </c:pt>
                <c:pt idx="1">
                  <c:v>Építkezési terület</c:v>
                </c:pt>
                <c:pt idx="2">
                  <c:v>Ipari, termelési létesítmény</c:v>
                </c:pt>
                <c:pt idx="3">
                  <c:v>Kereskedelmi, szolgáltató létesítmény</c:v>
                </c:pt>
                <c:pt idx="4">
                  <c:v>Közlekedési eszköz</c:v>
                </c:pt>
                <c:pt idx="5">
                  <c:v>Közlekedési létesítmény</c:v>
                </c:pt>
                <c:pt idx="6">
                  <c:v>Közút</c:v>
                </c:pt>
                <c:pt idx="7">
                  <c:v>Nevelési-, oktatási létesítmény</c:v>
                </c:pt>
                <c:pt idx="8">
                  <c:v>Otthon jellegű létesítmény</c:v>
                </c:pt>
                <c:pt idx="9">
                  <c:v>Szabad terület</c:v>
                </c:pt>
                <c:pt idx="10">
                  <c:v>Szálloda jellegű létesítmény</c:v>
                </c:pt>
                <c:pt idx="11">
                  <c:v>Tárolási létesítmény</c:v>
                </c:pt>
              </c:strCache>
            </c:strRef>
          </c:cat>
          <c:val>
            <c:numRef>
              <c:f>Műszaki!$F$45:$F$56</c:f>
              <c:numCache>
                <c:formatCode>General</c:formatCode>
                <c:ptCount val="12"/>
                <c:pt idx="0">
                  <c:v>34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35</c:v>
                </c:pt>
                <c:pt idx="5">
                  <c:v>17</c:v>
                </c:pt>
                <c:pt idx="6">
                  <c:v>207</c:v>
                </c:pt>
                <c:pt idx="7">
                  <c:v>2</c:v>
                </c:pt>
                <c:pt idx="8">
                  <c:v>144</c:v>
                </c:pt>
                <c:pt idx="9">
                  <c:v>51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8F8-4CCE-8B9D-756F817A7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402800"/>
        <c:axId val="-117396816"/>
      </c:barChart>
      <c:catAx>
        <c:axId val="-11740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396816"/>
        <c:crosses val="autoZero"/>
        <c:auto val="1"/>
        <c:lblAlgn val="ctr"/>
        <c:lblOffset val="100"/>
        <c:noMultiLvlLbl val="0"/>
      </c:catAx>
      <c:valAx>
        <c:axId val="-11739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40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1"/>
              <a:t>Önkéntes</a:t>
            </a:r>
            <a:r>
              <a:rPr lang="hu-HU" b="1" baseline="0"/>
              <a:t> Tűzoltó Egyesületek Beavatkozás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Település!$C$15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Település!$B$16:$B$24</c:f>
              <c:strCache>
                <c:ptCount val="9"/>
                <c:pt idx="0">
                  <c:v>Budaörs  ÖTE</c:v>
                </c:pt>
                <c:pt idx="1">
                  <c:v>Martonvásár ÖTE </c:v>
                </c:pt>
                <c:pt idx="2">
                  <c:v>Biatorbágy ÖTE</c:v>
                </c:pt>
                <c:pt idx="3">
                  <c:v>Páty ÖTE</c:v>
                </c:pt>
                <c:pt idx="4">
                  <c:v>PMSM ÖTE</c:v>
                </c:pt>
                <c:pt idx="5">
                  <c:v>Tárnok ÖTE</c:v>
                </c:pt>
                <c:pt idx="6">
                  <c:v>Vál ÖTE</c:v>
                </c:pt>
                <c:pt idx="7">
                  <c:v>Sóskút ÖTE</c:v>
                </c:pt>
                <c:pt idx="8">
                  <c:v>TSMP ÖTE</c:v>
                </c:pt>
              </c:strCache>
            </c:strRef>
          </c:cat>
          <c:val>
            <c:numRef>
              <c:f>Település!$C$16:$C$24</c:f>
              <c:numCache>
                <c:formatCode>General</c:formatCode>
                <c:ptCount val="9"/>
                <c:pt idx="0">
                  <c:v>153</c:v>
                </c:pt>
                <c:pt idx="1">
                  <c:v>111</c:v>
                </c:pt>
                <c:pt idx="2">
                  <c:v>64</c:v>
                </c:pt>
                <c:pt idx="3">
                  <c:v>46</c:v>
                </c:pt>
                <c:pt idx="4">
                  <c:v>8</c:v>
                </c:pt>
                <c:pt idx="5">
                  <c:v>14</c:v>
                </c:pt>
                <c:pt idx="6">
                  <c:v>2</c:v>
                </c:pt>
                <c:pt idx="7">
                  <c:v>11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90-4C7E-A9B5-BA5C38963348}"/>
            </c:ext>
          </c:extLst>
        </c:ser>
        <c:ser>
          <c:idx val="1"/>
          <c:order val="1"/>
          <c:tx>
            <c:strRef>
              <c:f>Település!$D$15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Település!$B$16:$B$24</c:f>
              <c:strCache>
                <c:ptCount val="9"/>
                <c:pt idx="0">
                  <c:v>Budaörs  ÖTE</c:v>
                </c:pt>
                <c:pt idx="1">
                  <c:v>Martonvásár ÖTE </c:v>
                </c:pt>
                <c:pt idx="2">
                  <c:v>Biatorbágy ÖTE</c:v>
                </c:pt>
                <c:pt idx="3">
                  <c:v>Páty ÖTE</c:v>
                </c:pt>
                <c:pt idx="4">
                  <c:v>PMSM ÖTE</c:v>
                </c:pt>
                <c:pt idx="5">
                  <c:v>Tárnok ÖTE</c:v>
                </c:pt>
                <c:pt idx="6">
                  <c:v>Vál ÖTE</c:v>
                </c:pt>
                <c:pt idx="7">
                  <c:v>Sóskút ÖTE</c:v>
                </c:pt>
                <c:pt idx="8">
                  <c:v>TSMP ÖTE</c:v>
                </c:pt>
              </c:strCache>
            </c:strRef>
          </c:cat>
          <c:val>
            <c:numRef>
              <c:f>Település!$D$16:$D$24</c:f>
              <c:numCache>
                <c:formatCode>General</c:formatCode>
                <c:ptCount val="9"/>
                <c:pt idx="0">
                  <c:v>124</c:v>
                </c:pt>
                <c:pt idx="1">
                  <c:v>155</c:v>
                </c:pt>
                <c:pt idx="2">
                  <c:v>45</c:v>
                </c:pt>
                <c:pt idx="3">
                  <c:v>35</c:v>
                </c:pt>
                <c:pt idx="4">
                  <c:v>13</c:v>
                </c:pt>
                <c:pt idx="5">
                  <c:v>7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90-4C7E-A9B5-BA5C38963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401168"/>
        <c:axId val="-117398992"/>
      </c:barChart>
      <c:catAx>
        <c:axId val="-11740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398992"/>
        <c:crosses val="autoZero"/>
        <c:auto val="1"/>
        <c:lblAlgn val="ctr"/>
        <c:lblOffset val="100"/>
        <c:noMultiLvlLbl val="0"/>
      </c:catAx>
      <c:valAx>
        <c:axId val="-11739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117401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5073-F3B0-4DF2-B668-FFDCB4B9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4355</Words>
  <Characters>32108</Characters>
  <Application>Microsoft Office Word</Application>
  <DocSecurity>0</DocSecurity>
  <Lines>267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Pest Megyei Katasztrófavédelmi Igazgatóság</vt:lpstr>
    </vt:vector>
  </TitlesOfParts>
  <Company>Érd Város Hivatásos Tűzoltósága</Company>
  <LinksUpToDate>false</LinksUpToDate>
  <CharactersWithSpaces>36391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Megyei Katasztrófavédelmi Igazgatóság</dc:title>
  <dc:creator>Fodor Attila</dc:creator>
  <cp:lastModifiedBy>Dr. Halasi Andrea</cp:lastModifiedBy>
  <cp:revision>5</cp:revision>
  <cp:lastPrinted>2025-04-07T06:08:00Z</cp:lastPrinted>
  <dcterms:created xsi:type="dcterms:W3CDTF">2025-04-07T06:14:00Z</dcterms:created>
  <dcterms:modified xsi:type="dcterms:W3CDTF">2025-04-07T09:55:00Z</dcterms:modified>
</cp:coreProperties>
</file>