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34" w:rsidRPr="00BE3E9E" w:rsidRDefault="00671B34" w:rsidP="00671B34">
      <w:pPr>
        <w:suppressAutoHyphens w:val="0"/>
        <w:spacing w:after="0" w:line="240" w:lineRule="auto"/>
        <w:jc w:val="both"/>
        <w:rPr>
          <w:rFonts w:ascii="Times New Roman" w:hAnsi="Times New Roman"/>
          <w:b/>
          <w:sz w:val="24"/>
          <w:szCs w:val="24"/>
          <w:u w:val="single"/>
        </w:rPr>
      </w:pPr>
      <w:r>
        <w:rPr>
          <w:rFonts w:ascii="Times New Roman" w:hAnsi="Times New Roman"/>
          <w:b/>
          <w:sz w:val="24"/>
          <w:szCs w:val="24"/>
          <w:u w:val="single"/>
        </w:rPr>
        <w:t>16/2018</w:t>
      </w:r>
      <w:r w:rsidRPr="00BE3E9E">
        <w:rPr>
          <w:rFonts w:ascii="Times New Roman" w:hAnsi="Times New Roman"/>
          <w:b/>
          <w:sz w:val="24"/>
          <w:szCs w:val="24"/>
          <w:u w:val="single"/>
        </w:rPr>
        <w:t>. (</w:t>
      </w:r>
      <w:r>
        <w:rPr>
          <w:rFonts w:ascii="Times New Roman" w:hAnsi="Times New Roman"/>
          <w:b/>
          <w:sz w:val="24"/>
          <w:szCs w:val="24"/>
          <w:u w:val="single"/>
        </w:rPr>
        <w:t>II.13.</w:t>
      </w:r>
      <w:r w:rsidRPr="00BE3E9E">
        <w:rPr>
          <w:rFonts w:ascii="Times New Roman" w:hAnsi="Times New Roman"/>
          <w:b/>
          <w:sz w:val="24"/>
          <w:szCs w:val="24"/>
          <w:u w:val="single"/>
        </w:rPr>
        <w:t xml:space="preserve">) határozat </w:t>
      </w:r>
      <w:r>
        <w:rPr>
          <w:rFonts w:ascii="Times New Roman" w:hAnsi="Times New Roman"/>
          <w:b/>
          <w:sz w:val="24"/>
          <w:szCs w:val="24"/>
          <w:u w:val="single"/>
        </w:rPr>
        <w:t xml:space="preserve">2. </w:t>
      </w:r>
      <w:r w:rsidRPr="00BE3E9E">
        <w:rPr>
          <w:rFonts w:ascii="Times New Roman" w:hAnsi="Times New Roman"/>
          <w:b/>
          <w:sz w:val="24"/>
          <w:szCs w:val="24"/>
          <w:u w:val="single"/>
        </w:rPr>
        <w:t>melléklete:</w:t>
      </w:r>
    </w:p>
    <w:p w:rsidR="00671B34"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b/>
          <w:color w:val="000000"/>
          <w:kern w:val="16"/>
          <w:sz w:val="32"/>
          <w:szCs w:val="32"/>
          <w:lang w:eastAsia="en-US"/>
        </w:rPr>
      </w:pPr>
      <w:r w:rsidRPr="00BC1BAA">
        <w:rPr>
          <w:rFonts w:ascii="Arial Narrow" w:eastAsia="Times New Roman" w:hAnsi="Arial Narrow"/>
          <w:b/>
          <w:color w:val="000000"/>
          <w:kern w:val="16"/>
          <w:sz w:val="32"/>
          <w:szCs w:val="32"/>
          <w:lang w:eastAsia="en-US"/>
        </w:rPr>
        <w:t xml:space="preserve">Martonvásár Város Önkormányzatának tulajdonában lévő ingatlanok </w:t>
      </w:r>
      <w:r>
        <w:rPr>
          <w:rFonts w:ascii="Arial Narrow" w:eastAsia="Times New Roman" w:hAnsi="Arial Narrow"/>
          <w:b/>
          <w:color w:val="000000"/>
          <w:kern w:val="16"/>
          <w:sz w:val="32"/>
          <w:szCs w:val="32"/>
          <w:lang w:eastAsia="en-US"/>
        </w:rPr>
        <w:t>energiafelhasználásának 2017</w:t>
      </w:r>
      <w:r w:rsidRPr="00BC1BAA">
        <w:rPr>
          <w:rFonts w:ascii="Arial Narrow" w:eastAsia="Times New Roman" w:hAnsi="Arial Narrow"/>
          <w:b/>
          <w:color w:val="000000"/>
          <w:kern w:val="16"/>
          <w:sz w:val="32"/>
          <w:szCs w:val="32"/>
          <w:lang w:eastAsia="en-US"/>
        </w:rPr>
        <w:t>. évi alakulása</w:t>
      </w:r>
    </w:p>
    <w:p w:rsidR="00671B34" w:rsidRPr="00BC1BAA" w:rsidRDefault="00671B34" w:rsidP="00671B34">
      <w:pPr>
        <w:suppressAutoHyphens w:val="0"/>
        <w:spacing w:after="0" w:line="240" w:lineRule="auto"/>
        <w:jc w:val="both"/>
        <w:rPr>
          <w:rFonts w:ascii="Arial Narrow" w:eastAsia="Times New Roman" w:hAnsi="Arial Narrow"/>
          <w:b/>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r w:rsidRPr="00BC1BAA">
        <w:rPr>
          <w:rFonts w:ascii="Arial Narrow" w:eastAsia="Times New Roman" w:hAnsi="Arial Narrow"/>
          <w:color w:val="000000"/>
          <w:kern w:val="16"/>
          <w:lang w:eastAsia="en-US"/>
        </w:rPr>
        <w:t>201</w:t>
      </w:r>
      <w:r>
        <w:rPr>
          <w:rFonts w:ascii="Arial Narrow" w:eastAsia="Times New Roman" w:hAnsi="Arial Narrow"/>
          <w:color w:val="000000"/>
          <w:kern w:val="16"/>
          <w:lang w:eastAsia="en-US"/>
        </w:rPr>
        <w:t>7</w:t>
      </w:r>
      <w:r w:rsidRPr="00BC1BAA">
        <w:rPr>
          <w:rFonts w:ascii="Arial Narrow" w:eastAsia="Times New Roman" w:hAnsi="Arial Narrow"/>
          <w:color w:val="000000"/>
          <w:kern w:val="16"/>
          <w:lang w:eastAsia="en-US"/>
        </w:rPr>
        <w:t>. december 31</w:t>
      </w:r>
      <w:r>
        <w:rPr>
          <w:rFonts w:ascii="Arial Narrow" w:eastAsia="Times New Roman" w:hAnsi="Arial Narrow"/>
          <w:color w:val="000000"/>
          <w:kern w:val="16"/>
          <w:lang w:eastAsia="en-US"/>
        </w:rPr>
        <w:t>-</w:t>
      </w:r>
      <w:r w:rsidRPr="00BC1BAA">
        <w:rPr>
          <w:rFonts w:ascii="Arial Narrow" w:eastAsia="Times New Roman" w:hAnsi="Arial Narrow"/>
          <w:color w:val="000000"/>
          <w:kern w:val="16"/>
          <w:lang w:eastAsia="en-US"/>
        </w:rPr>
        <w:t>i állapot szerint</w:t>
      </w: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pBdr>
          <w:top w:val="single" w:sz="4" w:space="1" w:color="auto"/>
        </w:pBdr>
        <w:tabs>
          <w:tab w:val="left" w:pos="3960"/>
          <w:tab w:val="left" w:pos="5760"/>
        </w:tabs>
        <w:suppressAutoHyphens w:val="0"/>
        <w:spacing w:after="0" w:line="240" w:lineRule="auto"/>
        <w:jc w:val="both"/>
        <w:rPr>
          <w:rFonts w:ascii="Arial Narrow" w:eastAsia="Times New Roman" w:hAnsi="Arial Narrow"/>
          <w:b/>
          <w:color w:val="000000"/>
          <w:kern w:val="16"/>
          <w:lang w:eastAsia="en-US"/>
        </w:rPr>
      </w:pPr>
      <w:r w:rsidRPr="00BC1BAA">
        <w:rPr>
          <w:rFonts w:ascii="Arial Narrow" w:eastAsia="Times New Roman" w:hAnsi="Arial Narrow"/>
          <w:color w:val="000000"/>
          <w:kern w:val="16"/>
          <w:lang w:eastAsia="en-US"/>
        </w:rPr>
        <w:tab/>
        <w:t>Készítette:</w:t>
      </w:r>
      <w:r w:rsidRPr="00BC1BAA">
        <w:rPr>
          <w:rFonts w:ascii="Arial Narrow" w:eastAsia="Times New Roman" w:hAnsi="Arial Narrow"/>
          <w:color w:val="000000"/>
          <w:kern w:val="16"/>
          <w:lang w:eastAsia="en-US"/>
        </w:rPr>
        <w:tab/>
      </w:r>
      <w:r w:rsidRPr="00BC1BAA">
        <w:rPr>
          <w:rFonts w:ascii="Arial Narrow" w:eastAsia="Times New Roman" w:hAnsi="Arial Narrow"/>
          <w:b/>
          <w:color w:val="000000"/>
          <w:kern w:val="16"/>
          <w:lang w:eastAsia="en-US"/>
        </w:rPr>
        <w:t xml:space="preserve">     Vörös Péter</w:t>
      </w:r>
    </w:p>
    <w:p w:rsidR="00671B34" w:rsidRPr="00BC1BAA" w:rsidRDefault="00671B34" w:rsidP="00671B34">
      <w:pPr>
        <w:pBdr>
          <w:bottom w:val="single" w:sz="4" w:space="1" w:color="auto"/>
        </w:pBdr>
        <w:tabs>
          <w:tab w:val="left" w:pos="3960"/>
          <w:tab w:val="left" w:pos="5760"/>
        </w:tabs>
        <w:suppressAutoHyphens w:val="0"/>
        <w:spacing w:after="0" w:line="240" w:lineRule="auto"/>
        <w:jc w:val="both"/>
        <w:rPr>
          <w:rFonts w:ascii="Arial Narrow" w:eastAsia="Times New Roman" w:hAnsi="Arial Narrow"/>
          <w:color w:val="000000"/>
          <w:kern w:val="16"/>
          <w:lang w:eastAsia="en-US"/>
        </w:rPr>
      </w:pPr>
      <w:r w:rsidRPr="00BC1BAA">
        <w:rPr>
          <w:rFonts w:ascii="Arial Narrow" w:eastAsia="Times New Roman" w:hAnsi="Arial Narrow"/>
          <w:color w:val="000000"/>
          <w:kern w:val="16"/>
          <w:lang w:eastAsia="en-US"/>
        </w:rPr>
        <w:tab/>
      </w:r>
      <w:r w:rsidRPr="00BC1BAA">
        <w:rPr>
          <w:rFonts w:ascii="Arial Narrow" w:eastAsia="Times New Roman" w:hAnsi="Arial Narrow"/>
          <w:color w:val="000000"/>
          <w:kern w:val="16"/>
          <w:lang w:eastAsia="en-US"/>
        </w:rPr>
        <w:tab/>
        <w:t xml:space="preserve">      Ügyvezető</w:t>
      </w:r>
    </w:p>
    <w:p w:rsidR="00671B34" w:rsidRPr="00BC1BAA" w:rsidRDefault="00671B34" w:rsidP="00671B34">
      <w:pPr>
        <w:tabs>
          <w:tab w:val="left" w:pos="3960"/>
          <w:tab w:val="left" w:pos="5760"/>
        </w:tabs>
        <w:suppressAutoHyphens w:val="0"/>
        <w:spacing w:after="0" w:line="360" w:lineRule="auto"/>
        <w:jc w:val="both"/>
        <w:rPr>
          <w:rFonts w:ascii="Arial Narrow" w:eastAsia="Times New Roman" w:hAnsi="Arial Narrow"/>
          <w:b/>
          <w:color w:val="000000"/>
          <w:kern w:val="16"/>
          <w:lang w:eastAsia="en-US"/>
        </w:rPr>
        <w:sectPr w:rsidR="00671B34" w:rsidRPr="00BC1BAA" w:rsidSect="00F61F79">
          <w:headerReference w:type="default" r:id="rId5"/>
          <w:footerReference w:type="even" r:id="rId6"/>
          <w:footerReference w:type="default" r:id="rId7"/>
          <w:pgSz w:w="11906" w:h="16838"/>
          <w:pgMar w:top="1418" w:right="1418" w:bottom="1418" w:left="1418" w:header="709" w:footer="709" w:gutter="0"/>
          <w:cols w:space="708"/>
          <w:titlePg/>
          <w:docGrid w:linePitch="360"/>
        </w:sectPr>
      </w:pPr>
      <w:r w:rsidRPr="00BC1BAA">
        <w:rPr>
          <w:rFonts w:ascii="Arial Narrow" w:eastAsia="Times New Roman" w:hAnsi="Arial Narrow"/>
          <w:b/>
          <w:color w:val="000000"/>
          <w:kern w:val="16"/>
          <w:lang w:eastAsia="en-US"/>
        </w:rPr>
        <w:br w:type="page"/>
      </w:r>
    </w:p>
    <w:p w:rsidR="00671B34" w:rsidRPr="00BC1BAA" w:rsidRDefault="00671B34" w:rsidP="00671B34">
      <w:pPr>
        <w:suppressAutoHyphens w:val="0"/>
        <w:spacing w:after="0" w:line="240" w:lineRule="auto"/>
        <w:jc w:val="both"/>
        <w:rPr>
          <w:rFonts w:ascii="Arial Narrow" w:eastAsia="Times New Roman" w:hAnsi="Arial Narrow"/>
          <w:b/>
          <w:color w:val="000000"/>
          <w:kern w:val="16"/>
          <w:sz w:val="24"/>
          <w:szCs w:val="24"/>
          <w:lang w:eastAsia="hu-HU"/>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r w:rsidRPr="00BC1BAA">
        <w:rPr>
          <w:rFonts w:ascii="Arial Narrow" w:eastAsia="Times New Roman" w:hAnsi="Arial Narrow"/>
          <w:b/>
          <w:color w:val="000000"/>
          <w:kern w:val="16"/>
          <w:sz w:val="24"/>
          <w:szCs w:val="24"/>
          <w:lang w:eastAsia="hu-HU"/>
        </w:rPr>
        <w:t>Az adatfeldolgozás menete</w:t>
      </w:r>
    </w:p>
    <w:p w:rsidR="00671B34" w:rsidRPr="00BC1BAA" w:rsidRDefault="00671B34" w:rsidP="00671B34">
      <w:pPr>
        <w:keepNext/>
        <w:suppressAutoHyphens w:val="0"/>
        <w:spacing w:after="0" w:line="240" w:lineRule="auto"/>
        <w:jc w:val="both"/>
        <w:outlineLvl w:val="0"/>
        <w:rPr>
          <w:rFonts w:ascii="Arial Narrow" w:eastAsia="Times New Roman" w:hAnsi="Arial Narrow"/>
          <w:b/>
          <w:color w:val="000000"/>
          <w:kern w:val="16"/>
          <w:sz w:val="24"/>
          <w:szCs w:val="24"/>
          <w:lang w:eastAsia="hu-HU"/>
        </w:rPr>
      </w:pPr>
    </w:p>
    <w:p w:rsidR="00671B34" w:rsidRPr="00BC1BAA" w:rsidRDefault="00671B34" w:rsidP="00671B34">
      <w:pPr>
        <w:keepNext/>
        <w:suppressAutoHyphens w:val="0"/>
        <w:spacing w:after="0" w:line="240" w:lineRule="auto"/>
        <w:jc w:val="both"/>
        <w:outlineLvl w:val="0"/>
        <w:rPr>
          <w:rFonts w:ascii="Arial Narrow" w:eastAsia="Times New Roman" w:hAnsi="Arial Narrow"/>
          <w:b/>
          <w:color w:val="000000"/>
          <w:kern w:val="16"/>
          <w:sz w:val="24"/>
          <w:szCs w:val="24"/>
          <w:lang w:eastAsia="hu-HU"/>
        </w:rPr>
      </w:pPr>
    </w:p>
    <w:p w:rsidR="00671B34" w:rsidRPr="00BC1BAA" w:rsidRDefault="00671B34" w:rsidP="00671B34">
      <w:pPr>
        <w:keepNext/>
        <w:suppressAutoHyphens w:val="0"/>
        <w:spacing w:after="0" w:line="240" w:lineRule="auto"/>
        <w:jc w:val="both"/>
        <w:outlineLvl w:val="0"/>
        <w:rPr>
          <w:rFonts w:ascii="Arial Narrow" w:eastAsia="Times New Roman" w:hAnsi="Arial Narrow"/>
          <w:color w:val="000000"/>
          <w:kern w:val="16"/>
          <w:sz w:val="24"/>
          <w:szCs w:val="24"/>
          <w:lang w:eastAsia="hu-HU"/>
        </w:rPr>
      </w:pPr>
      <w:r>
        <w:rPr>
          <w:rFonts w:ascii="Arial Narrow" w:eastAsia="Times New Roman" w:hAnsi="Arial Narrow"/>
          <w:color w:val="000000"/>
          <w:kern w:val="16"/>
          <w:sz w:val="24"/>
          <w:szCs w:val="24"/>
          <w:lang w:eastAsia="hu-HU"/>
        </w:rPr>
        <w:t>Az adatok feldolgozása után a 2017. évben meglévő összes olyan fogyasztási hely látható, melyre számla érkezik. A fogyasztási helyek elnevezése az adott szolgáltatónál meglévő adatbázisból származik, így nem ritka hogy többféle, gyakran pontatlan néven, címen szerepelnek.</w:t>
      </w:r>
    </w:p>
    <w:p w:rsidR="00671B34" w:rsidRPr="00BC1BAA" w:rsidRDefault="00671B34" w:rsidP="00671B34">
      <w:pPr>
        <w:keepNext/>
        <w:suppressAutoHyphens w:val="0"/>
        <w:spacing w:after="0" w:line="240" w:lineRule="auto"/>
        <w:jc w:val="both"/>
        <w:outlineLvl w:val="0"/>
        <w:rPr>
          <w:rFonts w:ascii="Arial Narrow" w:eastAsia="Times New Roman" w:hAnsi="Arial Narrow"/>
          <w:b/>
          <w:color w:val="000000"/>
          <w:kern w:val="16"/>
          <w:sz w:val="24"/>
          <w:szCs w:val="24"/>
          <w:lang w:eastAsia="hu-HU"/>
        </w:rPr>
      </w:pPr>
    </w:p>
    <w:p w:rsidR="00671B34" w:rsidRPr="00BC1BAA" w:rsidRDefault="00671B34" w:rsidP="00671B34">
      <w:pPr>
        <w:keepNext/>
        <w:suppressAutoHyphens w:val="0"/>
        <w:spacing w:after="0" w:line="240" w:lineRule="auto"/>
        <w:jc w:val="both"/>
        <w:outlineLvl w:val="0"/>
        <w:rPr>
          <w:rFonts w:ascii="Arial Narrow" w:eastAsia="Times New Roman" w:hAnsi="Arial Narrow"/>
          <w:b/>
          <w:color w:val="000000"/>
          <w:kern w:val="16"/>
          <w:sz w:val="24"/>
          <w:szCs w:val="24"/>
          <w:lang w:eastAsia="hu-HU"/>
        </w:rPr>
      </w:pPr>
    </w:p>
    <w:p w:rsidR="00671B34" w:rsidRPr="00BC1BAA" w:rsidRDefault="00671B34" w:rsidP="00671B34">
      <w:pPr>
        <w:keepNext/>
        <w:suppressAutoHyphens w:val="0"/>
        <w:spacing w:after="0" w:line="240" w:lineRule="auto"/>
        <w:jc w:val="both"/>
        <w:outlineLvl w:val="0"/>
        <w:rPr>
          <w:rFonts w:ascii="Arial Narrow" w:eastAsia="Times New Roman" w:hAnsi="Arial Narrow"/>
          <w:b/>
          <w:color w:val="000000"/>
          <w:kern w:val="16"/>
          <w:sz w:val="24"/>
          <w:szCs w:val="24"/>
          <w:lang w:eastAsia="hu-HU"/>
        </w:rPr>
      </w:pPr>
      <w:r w:rsidRPr="00BC1BAA">
        <w:rPr>
          <w:rFonts w:ascii="Arial Narrow" w:eastAsia="Times New Roman" w:hAnsi="Arial Narrow"/>
          <w:b/>
          <w:color w:val="000000"/>
          <w:kern w:val="16"/>
          <w:sz w:val="24"/>
          <w:szCs w:val="24"/>
          <w:lang w:eastAsia="hu-HU"/>
        </w:rPr>
        <w:t xml:space="preserve">Ingatlanok </w:t>
      </w:r>
      <w:r>
        <w:rPr>
          <w:rFonts w:ascii="Arial Narrow" w:eastAsia="Times New Roman" w:hAnsi="Arial Narrow"/>
          <w:b/>
          <w:color w:val="000000"/>
          <w:kern w:val="16"/>
          <w:sz w:val="24"/>
          <w:szCs w:val="24"/>
          <w:lang w:eastAsia="hu-HU"/>
        </w:rPr>
        <w:t xml:space="preserve">(épületek) </w:t>
      </w:r>
      <w:r w:rsidRPr="00BC1BAA">
        <w:rPr>
          <w:rFonts w:ascii="Arial Narrow" w:eastAsia="Times New Roman" w:hAnsi="Arial Narrow"/>
          <w:b/>
          <w:color w:val="000000"/>
          <w:kern w:val="16"/>
          <w:sz w:val="24"/>
          <w:szCs w:val="24"/>
          <w:lang w:eastAsia="hu-HU"/>
        </w:rPr>
        <w:t>közműellátottsága</w:t>
      </w:r>
    </w:p>
    <w:p w:rsidR="00671B34" w:rsidRPr="00BC1BAA" w:rsidRDefault="00671B34" w:rsidP="00671B34">
      <w:pPr>
        <w:suppressAutoHyphens w:val="0"/>
        <w:spacing w:after="0" w:line="240" w:lineRule="auto"/>
        <w:rPr>
          <w:rFonts w:ascii="Times New Roman" w:eastAsia="Times New Roman" w:hAnsi="Times New Roman"/>
          <w:b/>
          <w:color w:val="000000"/>
          <w:kern w:val="16"/>
          <w:sz w:val="24"/>
          <w:szCs w:val="24"/>
          <w:lang w:eastAsia="hu-HU"/>
        </w:rPr>
      </w:pPr>
    </w:p>
    <w:p w:rsidR="00671B34" w:rsidRPr="00BC1BAA" w:rsidRDefault="00671B34" w:rsidP="00671B34">
      <w:pPr>
        <w:suppressAutoHyphens w:val="0"/>
        <w:spacing w:after="0" w:line="240" w:lineRule="auto"/>
        <w:rPr>
          <w:rFonts w:ascii="Times New Roman" w:eastAsia="Times New Roman" w:hAnsi="Times New Roman"/>
          <w:b/>
          <w:color w:val="000000"/>
          <w:kern w:val="16"/>
          <w:sz w:val="24"/>
          <w:szCs w:val="24"/>
          <w:lang w:eastAsia="hu-HU"/>
        </w:rPr>
      </w:pPr>
    </w:p>
    <w:tbl>
      <w:tblPr>
        <w:tblW w:w="12356" w:type="dxa"/>
        <w:tblInd w:w="56" w:type="dxa"/>
        <w:tblCellMar>
          <w:left w:w="70" w:type="dxa"/>
          <w:right w:w="70" w:type="dxa"/>
        </w:tblCellMar>
        <w:tblLook w:val="0000" w:firstRow="0" w:lastRow="0" w:firstColumn="0" w:lastColumn="0" w:noHBand="0" w:noVBand="0"/>
      </w:tblPr>
      <w:tblGrid>
        <w:gridCol w:w="3416"/>
        <w:gridCol w:w="3700"/>
        <w:gridCol w:w="960"/>
        <w:gridCol w:w="960"/>
        <w:gridCol w:w="960"/>
        <w:gridCol w:w="2360"/>
      </w:tblGrid>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b/>
                <w:bCs/>
                <w:lang w:eastAsia="hu-HU"/>
              </w:rPr>
            </w:pPr>
            <w:r>
              <w:rPr>
                <w:rFonts w:ascii="Arial Narrow" w:eastAsia="Times New Roman" w:hAnsi="Arial Narrow" w:cs="Arial"/>
                <w:b/>
                <w:bCs/>
                <w:lang w:eastAsia="hu-HU"/>
              </w:rPr>
              <w:t>Önk.i ingatlano</w:t>
            </w:r>
            <w:r w:rsidRPr="00BC1BAA">
              <w:rPr>
                <w:rFonts w:ascii="Arial Narrow" w:eastAsia="Times New Roman" w:hAnsi="Arial Narrow" w:cs="Arial"/>
                <w:b/>
                <w:bCs/>
                <w:lang w:eastAsia="hu-HU"/>
              </w:rPr>
              <w:t>k (hrsz.)</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b/>
                <w:bCs/>
                <w:lang w:eastAsia="hu-HU"/>
              </w:rPr>
            </w:pPr>
            <w:r w:rsidRPr="00BC1BAA">
              <w:rPr>
                <w:rFonts w:ascii="Arial Narrow" w:eastAsia="Times New Roman" w:hAnsi="Arial Narrow" w:cs="Arial"/>
                <w:b/>
                <w:bCs/>
                <w:lang w:eastAsia="hu-HU"/>
              </w:rPr>
              <w:t>Rendeltetés</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b/>
                <w:bCs/>
                <w:lang w:eastAsia="hu-HU"/>
              </w:rPr>
            </w:pPr>
            <w:r w:rsidRPr="00BC1BAA">
              <w:rPr>
                <w:rFonts w:ascii="Arial Narrow" w:eastAsia="Times New Roman" w:hAnsi="Arial Narrow" w:cs="Arial"/>
                <w:b/>
                <w:bCs/>
                <w:lang w:eastAsia="hu-HU"/>
              </w:rPr>
              <w:t>áram</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b/>
                <w:bCs/>
                <w:lang w:eastAsia="hu-HU"/>
              </w:rPr>
            </w:pPr>
            <w:r w:rsidRPr="00BC1BAA">
              <w:rPr>
                <w:rFonts w:ascii="Arial Narrow" w:eastAsia="Times New Roman" w:hAnsi="Arial Narrow" w:cs="Arial"/>
                <w:b/>
                <w:bCs/>
                <w:lang w:eastAsia="hu-HU"/>
              </w:rPr>
              <w:t>gáz</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b/>
                <w:bCs/>
                <w:lang w:eastAsia="hu-HU"/>
              </w:rPr>
            </w:pPr>
            <w:r w:rsidRPr="00BC1BAA">
              <w:rPr>
                <w:rFonts w:ascii="Arial Narrow" w:eastAsia="Times New Roman" w:hAnsi="Arial Narrow" w:cs="Arial"/>
                <w:b/>
                <w:bCs/>
                <w:lang w:eastAsia="hu-HU"/>
              </w:rPr>
              <w:t>víz</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Brunszvik út 1. (1078)</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1 </w:t>
            </w:r>
            <w:r>
              <w:rPr>
                <w:rFonts w:ascii="Arial Narrow" w:eastAsia="Times New Roman" w:hAnsi="Arial Narrow" w:cs="Arial"/>
                <w:lang w:eastAsia="hu-HU"/>
              </w:rPr>
              <w:t>raktár</w:t>
            </w:r>
            <w:r w:rsidRPr="00BC1BAA">
              <w:rPr>
                <w:rFonts w:ascii="Arial Narrow" w:eastAsia="Times New Roman" w:hAnsi="Arial Narrow" w:cs="Arial"/>
                <w:lang w:eastAsia="hu-HU"/>
              </w:rPr>
              <w:t>, rendelő</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Budai út 27. (692)</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1 lakás, rendelők</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Orgona</w:t>
            </w:r>
            <w:r w:rsidRPr="00BC1BAA">
              <w:rPr>
                <w:rFonts w:ascii="Arial Narrow" w:eastAsia="Times New Roman" w:hAnsi="Arial Narrow" w:cs="Arial"/>
                <w:lang w:eastAsia="hu-HU"/>
              </w:rPr>
              <w:t xml:space="preserve"> u. 14. (1243)</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1 lakás</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Orgona u. 16. (1244)</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1 </w:t>
            </w:r>
            <w:r>
              <w:rPr>
                <w:rFonts w:ascii="Arial Narrow" w:eastAsia="Times New Roman" w:hAnsi="Arial Narrow" w:cs="Arial"/>
                <w:lang w:eastAsia="hu-HU"/>
              </w:rPr>
              <w:t>raktár</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Orgona u. 18. (1246)</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1 raktár</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Rákóczi u. 18. (1046)</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1 raktár</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Béke u. 18. (448/3)</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1 lakás</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w:t>
            </w:r>
            <w:r>
              <w:rPr>
                <w:rFonts w:ascii="Arial Narrow" w:eastAsia="Times New Roman" w:hAnsi="Arial Narrow" w:cs="Arial"/>
                <w:lang w:eastAsia="hu-HU"/>
              </w:rPr>
              <w:t>-</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Dózsa Gy. út 8. (18</w:t>
            </w:r>
            <w:r>
              <w:rPr>
                <w:rFonts w:ascii="Arial Narrow" w:eastAsia="Times New Roman" w:hAnsi="Arial Narrow" w:cs="Arial"/>
                <w:lang w:eastAsia="hu-HU"/>
              </w:rPr>
              <w:t>2</w:t>
            </w:r>
            <w:r w:rsidRPr="00BC1BAA">
              <w:rPr>
                <w:rFonts w:ascii="Arial Narrow" w:eastAsia="Times New Roman" w:hAnsi="Arial Narrow" w:cs="Arial"/>
                <w:lang w:eastAsia="hu-HU"/>
              </w:rPr>
              <w:t>)</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1 </w:t>
            </w:r>
            <w:r>
              <w:rPr>
                <w:rFonts w:ascii="Arial Narrow" w:eastAsia="Times New Roman" w:hAnsi="Arial Narrow" w:cs="Arial"/>
                <w:lang w:eastAsia="hu-HU"/>
              </w:rPr>
              <w:t>raktár</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w:t>
            </w:r>
            <w:r>
              <w:rPr>
                <w:rFonts w:ascii="Arial Narrow" w:eastAsia="Times New Roman" w:hAnsi="Arial Narrow" w:cs="Arial"/>
                <w:lang w:eastAsia="hu-HU"/>
              </w:rPr>
              <w:t>-</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Dózsa Gy. út 10. (182)</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1 raktár</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Deák F. u. 1. (650/3</w:t>
            </w:r>
            <w:r>
              <w:rPr>
                <w:rFonts w:ascii="Arial Narrow" w:eastAsia="Times New Roman" w:hAnsi="Arial Narrow" w:cs="Arial"/>
                <w:lang w:eastAsia="hu-HU"/>
              </w:rPr>
              <w:t>/C</w:t>
            </w:r>
            <w:r w:rsidRPr="00BC1BAA">
              <w:rPr>
                <w:rFonts w:ascii="Arial Narrow" w:eastAsia="Times New Roman" w:hAnsi="Arial Narrow" w:cs="Arial"/>
                <w:lang w:eastAsia="hu-HU"/>
              </w:rPr>
              <w:t>)</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Művészeti Iskola</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Deák F. u. 3. (650/2)</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Óvoda</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Dózsa Gy. út 6.</w:t>
            </w:r>
            <w:r>
              <w:rPr>
                <w:rFonts w:ascii="Arial Narrow" w:eastAsia="Times New Roman" w:hAnsi="Arial Narrow" w:cs="Arial"/>
                <w:lang w:eastAsia="hu-HU"/>
              </w:rPr>
              <w:t xml:space="preserve"> (18</w:t>
            </w:r>
            <w:r w:rsidRPr="00BC1BAA">
              <w:rPr>
                <w:rFonts w:ascii="Arial Narrow" w:eastAsia="Times New Roman" w:hAnsi="Arial Narrow" w:cs="Arial"/>
                <w:lang w:eastAsia="hu-HU"/>
              </w:rPr>
              <w:t>2)</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volt tsz udvar</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Dózsa Gy. út 13. (1070/1)</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ÓMK</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Emlékezés tere 2. (1077/6)</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BBKK</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Emlékezés tere 3. (1070/2)</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Védőnő</w:t>
            </w:r>
            <w:r>
              <w:rPr>
                <w:rFonts w:ascii="Arial Narrow" w:eastAsia="Times New Roman" w:hAnsi="Arial Narrow" w:cs="Arial"/>
                <w:lang w:eastAsia="hu-HU"/>
              </w:rPr>
              <w:t>k</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Budai út 13. (679)</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Városháza</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Szt. László út 2. (650/3)</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Általános Iskola (’A’, ’B’ épület)</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Szt. László út 2. (650/3</w:t>
            </w:r>
            <w:r>
              <w:rPr>
                <w:rFonts w:ascii="Arial Narrow" w:eastAsia="Times New Roman" w:hAnsi="Arial Narrow" w:cs="Arial"/>
                <w:lang w:eastAsia="hu-HU"/>
              </w:rPr>
              <w:t>/B</w:t>
            </w:r>
            <w:r w:rsidRPr="00BC1BAA">
              <w:rPr>
                <w:rFonts w:ascii="Arial Narrow" w:eastAsia="Times New Roman" w:hAnsi="Arial Narrow" w:cs="Arial"/>
                <w:lang w:eastAsia="hu-HU"/>
              </w:rPr>
              <w:t>)</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Tóth Iván Sportcsarnok</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Sporttelep u. 17. (274</w:t>
            </w:r>
            <w:r>
              <w:rPr>
                <w:rFonts w:ascii="Arial Narrow" w:eastAsia="Times New Roman" w:hAnsi="Arial Narrow" w:cs="Arial"/>
                <w:lang w:eastAsia="hu-HU"/>
              </w:rPr>
              <w:t>/2</w:t>
            </w:r>
            <w:r w:rsidRPr="00BC1BAA">
              <w:rPr>
                <w:rFonts w:ascii="Arial Narrow" w:eastAsia="Times New Roman" w:hAnsi="Arial Narrow" w:cs="Arial"/>
                <w:lang w:eastAsia="hu-HU"/>
              </w:rPr>
              <w:t>)</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Horváth Ottó Sportközpont</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r w:rsidR="00671B34" w:rsidRPr="00BC1BAA" w:rsidTr="002E3837">
        <w:trPr>
          <w:trHeight w:val="255"/>
        </w:trPr>
        <w:tc>
          <w:tcPr>
            <w:tcW w:w="3416"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Szt. László út 24. (664)</w:t>
            </w:r>
          </w:p>
        </w:tc>
        <w:tc>
          <w:tcPr>
            <w:tcW w:w="370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SzLV Segítő Szolgálat</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9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r w:rsidRPr="00BC1BAA">
              <w:rPr>
                <w:rFonts w:ascii="Arial Narrow" w:eastAsia="Times New Roman" w:hAnsi="Arial Narrow" w:cs="Arial"/>
                <w:lang w:eastAsia="hu-HU"/>
              </w:rPr>
              <w:t xml:space="preserve">  x</w:t>
            </w:r>
          </w:p>
        </w:tc>
        <w:tc>
          <w:tcPr>
            <w:tcW w:w="2360" w:type="dxa"/>
            <w:tcBorders>
              <w:top w:val="nil"/>
              <w:left w:val="nil"/>
              <w:bottom w:val="nil"/>
              <w:right w:val="nil"/>
            </w:tcBorders>
            <w:shd w:val="clear" w:color="auto" w:fill="auto"/>
            <w:noWrap/>
            <w:vAlign w:val="bottom"/>
          </w:tcPr>
          <w:p w:rsidR="00671B34" w:rsidRPr="00BC1BAA" w:rsidRDefault="00671B34" w:rsidP="002E3837">
            <w:pPr>
              <w:suppressAutoHyphens w:val="0"/>
              <w:spacing w:after="0" w:line="240" w:lineRule="auto"/>
              <w:jc w:val="both"/>
              <w:rPr>
                <w:rFonts w:ascii="Arial Narrow" w:eastAsia="Times New Roman" w:hAnsi="Arial Narrow" w:cs="Arial"/>
                <w:lang w:eastAsia="hu-HU"/>
              </w:rPr>
            </w:pPr>
          </w:p>
        </w:tc>
      </w:tr>
    </w:tbl>
    <w:p w:rsidR="00671B34"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uppressAutoHyphens w:val="0"/>
        <w:spacing w:after="0" w:line="240" w:lineRule="auto"/>
        <w:jc w:val="both"/>
        <w:rPr>
          <w:rFonts w:ascii="Arial Narrow" w:eastAsia="Times New Roman" w:hAnsi="Arial Narrow"/>
          <w:color w:val="000000"/>
          <w:kern w:val="16"/>
          <w:lang w:eastAsia="en-US"/>
        </w:rPr>
      </w:pPr>
    </w:p>
    <w:p w:rsidR="00671B34" w:rsidRPr="00BC1BAA" w:rsidRDefault="00671B34" w:rsidP="00671B34">
      <w:pPr>
        <w:spacing w:after="0" w:line="240" w:lineRule="auto"/>
        <w:jc w:val="both"/>
        <w:rPr>
          <w:rFonts w:ascii="Arial Narrow" w:hAnsi="Arial Narrow"/>
        </w:rPr>
      </w:pPr>
      <w:r w:rsidRPr="00BC1BAA">
        <w:rPr>
          <w:rFonts w:ascii="Arial Narrow" w:hAnsi="Arial Narrow"/>
        </w:rPr>
        <w:t xml:space="preserve">A lakásokban a bérlők maguk fizetik a közmű díjakat. </w:t>
      </w:r>
    </w:p>
    <w:p w:rsidR="00671B34" w:rsidRPr="00BC1BAA" w:rsidRDefault="00671B34" w:rsidP="00671B34">
      <w:pPr>
        <w:spacing w:after="0" w:line="240" w:lineRule="auto"/>
        <w:jc w:val="both"/>
        <w:rPr>
          <w:rFonts w:ascii="Arial Narrow" w:hAnsi="Arial Narrow"/>
        </w:rPr>
      </w:pPr>
      <w:r w:rsidRPr="00BC1BAA">
        <w:rPr>
          <w:rFonts w:ascii="Arial Narrow" w:hAnsi="Arial Narrow"/>
        </w:rPr>
        <w:t xml:space="preserve">A felnőtt orvosi rendelőben szerződés szerint a közműdíjak 25%-át tovább számlázzuk az orvosoknak. </w:t>
      </w:r>
    </w:p>
    <w:p w:rsidR="00671B34" w:rsidRDefault="00671B34" w:rsidP="00671B34">
      <w:pPr>
        <w:spacing w:after="0" w:line="240" w:lineRule="auto"/>
        <w:jc w:val="both"/>
        <w:rPr>
          <w:rFonts w:ascii="Arial Narrow" w:hAnsi="Arial Narrow"/>
        </w:rPr>
      </w:pPr>
      <w:r w:rsidRPr="00BC1BAA">
        <w:rPr>
          <w:rFonts w:ascii="Arial Narrow" w:hAnsi="Arial Narrow"/>
        </w:rPr>
        <w:t>A fogorvosi rendelő esetében a Tordasi Önkormányzat a közműdíjak 30%-át fizeti.</w:t>
      </w:r>
    </w:p>
    <w:p w:rsidR="00671B34" w:rsidRDefault="00671B34" w:rsidP="00671B34">
      <w:pPr>
        <w:tabs>
          <w:tab w:val="left" w:pos="4500"/>
        </w:tabs>
        <w:suppressAutoHyphens w:val="0"/>
        <w:spacing w:after="0" w:line="240" w:lineRule="auto"/>
        <w:jc w:val="both"/>
        <w:rPr>
          <w:rFonts w:ascii="Arial Narrow" w:eastAsia="Times New Roman" w:hAnsi="Arial Narrow"/>
          <w:color w:val="000000"/>
          <w:kern w:val="16"/>
          <w:lang w:eastAsia="en-US"/>
        </w:rPr>
      </w:pPr>
      <w:r>
        <w:rPr>
          <w:rFonts w:ascii="Arial Narrow" w:eastAsia="Times New Roman" w:hAnsi="Arial Narrow"/>
          <w:color w:val="000000"/>
          <w:kern w:val="16"/>
          <w:lang w:eastAsia="en-US"/>
        </w:rPr>
        <w:t>A Beethoven Általános Iskolában a hőszolgáltatást és a többi közüzemet a Dunaújvárosi Tankerületi Központ fizeti.</w:t>
      </w:r>
    </w:p>
    <w:p w:rsidR="00671B34" w:rsidRDefault="00671B34" w:rsidP="00671B34">
      <w:pPr>
        <w:tabs>
          <w:tab w:val="left" w:pos="4500"/>
        </w:tabs>
        <w:suppressAutoHyphens w:val="0"/>
        <w:spacing w:after="0" w:line="240" w:lineRule="auto"/>
        <w:jc w:val="both"/>
        <w:rPr>
          <w:rFonts w:ascii="Arial Narrow" w:eastAsia="Times New Roman" w:hAnsi="Arial Narrow"/>
          <w:color w:val="000000"/>
          <w:kern w:val="16"/>
          <w:lang w:eastAsia="en-US"/>
        </w:rPr>
      </w:pPr>
      <w:r>
        <w:rPr>
          <w:rFonts w:ascii="Arial Narrow" w:eastAsia="Times New Roman" w:hAnsi="Arial Narrow"/>
          <w:color w:val="000000"/>
          <w:kern w:val="16"/>
          <w:lang w:eastAsia="en-US"/>
        </w:rPr>
        <w:t>A Tóth Iván Sportcsarnokban a hőszolgáltatást és a többi közüzem 93,8%-át a Dunaújvárosi Tankerületi Központ fizeti.</w:t>
      </w:r>
    </w:p>
    <w:p w:rsidR="00671B34" w:rsidRDefault="00671B34" w:rsidP="00671B34">
      <w:pPr>
        <w:tabs>
          <w:tab w:val="left" w:pos="4500"/>
        </w:tabs>
        <w:suppressAutoHyphens w:val="0"/>
        <w:spacing w:after="0" w:line="240" w:lineRule="auto"/>
        <w:jc w:val="both"/>
        <w:rPr>
          <w:rFonts w:ascii="Arial Narrow" w:eastAsia="Times New Roman" w:hAnsi="Arial Narrow"/>
          <w:color w:val="000000"/>
          <w:kern w:val="16"/>
          <w:lang w:eastAsia="en-US"/>
        </w:rPr>
      </w:pPr>
      <w:r>
        <w:rPr>
          <w:rFonts w:ascii="Arial Narrow" w:eastAsia="Times New Roman" w:hAnsi="Arial Narrow"/>
          <w:color w:val="000000"/>
          <w:kern w:val="16"/>
          <w:lang w:eastAsia="en-US"/>
        </w:rPr>
        <w:t>A Horváth Ottó Sportközpontban a közüzemeket a MartonSport Nonprofit Kft fizeti.</w:t>
      </w:r>
    </w:p>
    <w:p w:rsidR="00671B34" w:rsidRDefault="00671B34" w:rsidP="00671B34">
      <w:pPr>
        <w:tabs>
          <w:tab w:val="left" w:pos="4500"/>
        </w:tabs>
        <w:suppressAutoHyphens w:val="0"/>
        <w:spacing w:after="0" w:line="240" w:lineRule="auto"/>
        <w:jc w:val="both"/>
        <w:rPr>
          <w:rFonts w:ascii="Arial Narrow" w:eastAsia="Times New Roman" w:hAnsi="Arial Narrow"/>
          <w:color w:val="000000"/>
          <w:kern w:val="16"/>
          <w:lang w:eastAsia="en-US"/>
        </w:rPr>
      </w:pPr>
      <w:r>
        <w:rPr>
          <w:rFonts w:ascii="Arial Narrow" w:eastAsia="Times New Roman" w:hAnsi="Arial Narrow"/>
          <w:color w:val="000000"/>
          <w:kern w:val="16"/>
          <w:lang w:eastAsia="en-US"/>
        </w:rPr>
        <w:t>A Művészeti Iskolában a hőszolgáltatás 69%-át, a többi közüzem 72,97%-át a Dunaújvárosi Tankerületi Központ fizeti.</w:t>
      </w:r>
    </w:p>
    <w:p w:rsidR="00671B34" w:rsidRPr="00BC1BAA" w:rsidRDefault="00671B34" w:rsidP="00671B34">
      <w:pPr>
        <w:spacing w:after="0" w:line="240" w:lineRule="auto"/>
        <w:jc w:val="both"/>
        <w:rPr>
          <w:rFonts w:ascii="Arial Narrow" w:hAnsi="Arial Narrow"/>
        </w:rPr>
      </w:pPr>
      <w:r>
        <w:rPr>
          <w:rFonts w:ascii="Arial Narrow" w:eastAsia="Times New Roman" w:hAnsi="Arial Narrow"/>
          <w:color w:val="000000"/>
          <w:kern w:val="16"/>
          <w:lang w:eastAsia="en-US"/>
        </w:rPr>
        <w:t>A Járási Hivatalban a hőszolgáltatás 32,44%-át, a vízfogyasztás 13,3%-át és a Járási Hivatal teljes áramfogyasztását a Fejér Megyei Kormányhivatal téríti.</w:t>
      </w:r>
    </w:p>
    <w:p w:rsidR="00671B34" w:rsidRDefault="00671B34" w:rsidP="00671B34">
      <w:pPr>
        <w:jc w:val="both"/>
        <w:rPr>
          <w:rFonts w:ascii="Arial Narrow" w:hAnsi="Arial Narrow"/>
        </w:rPr>
      </w:pPr>
      <w:r w:rsidRPr="00BC1BAA">
        <w:rPr>
          <w:rFonts w:ascii="Arial Narrow" w:hAnsi="Arial Narrow"/>
        </w:rPr>
        <w:t>A Szent Lá</w:t>
      </w:r>
      <w:r>
        <w:rPr>
          <w:rFonts w:ascii="Arial Narrow" w:hAnsi="Arial Narrow"/>
        </w:rPr>
        <w:t>szló Völgye Segítő Szolgálatnál a fenntartó és a székesfehérvári TK fizeti a teljes rezsit, továbbá az épület üzemeltetés költségét.</w:t>
      </w:r>
    </w:p>
    <w:p w:rsidR="00671B34" w:rsidRDefault="00671B34" w:rsidP="00671B34">
      <w:pPr>
        <w:suppressAutoHyphens w:val="0"/>
        <w:spacing w:after="0" w:line="240" w:lineRule="auto"/>
        <w:rPr>
          <w:rFonts w:ascii="Arial Narrow" w:hAnsi="Arial Narrow"/>
        </w:rPr>
      </w:pPr>
      <w:r>
        <w:rPr>
          <w:rFonts w:ascii="Arial Narrow" w:hAnsi="Arial Narrow"/>
        </w:rPr>
        <w:br w:type="page"/>
      </w:r>
    </w:p>
    <w:p w:rsidR="00671B34" w:rsidRPr="00BC1BAA" w:rsidRDefault="00671B34" w:rsidP="00671B34">
      <w:pPr>
        <w:pStyle w:val="Listaszerbekezds"/>
        <w:numPr>
          <w:ilvl w:val="0"/>
          <w:numId w:val="1"/>
        </w:numPr>
        <w:jc w:val="both"/>
        <w:rPr>
          <w:rFonts w:ascii="Arial Narrow" w:hAnsi="Arial Narrow"/>
        </w:rPr>
      </w:pPr>
      <w:r w:rsidRPr="00BC1BAA">
        <w:rPr>
          <w:rFonts w:ascii="Arial Narrow" w:hAnsi="Arial Narrow"/>
        </w:rPr>
        <w:lastRenderedPageBreak/>
        <w:t>Villanyáram fogyasztás</w:t>
      </w:r>
    </w:p>
    <w:p w:rsidR="00671B34" w:rsidRDefault="00671B34" w:rsidP="00671B34">
      <w:pPr>
        <w:ind w:left="360"/>
        <w:jc w:val="both"/>
        <w:rPr>
          <w:rFonts w:ascii="Arial Narrow" w:hAnsi="Arial Narrow"/>
        </w:rPr>
      </w:pPr>
    </w:p>
    <w:tbl>
      <w:tblPr>
        <w:tblW w:w="9284" w:type="dxa"/>
        <w:tblInd w:w="637" w:type="dxa"/>
        <w:tblCellMar>
          <w:left w:w="70" w:type="dxa"/>
          <w:right w:w="70" w:type="dxa"/>
        </w:tblCellMar>
        <w:tblLook w:val="04A0" w:firstRow="1" w:lastRow="0" w:firstColumn="1" w:lastColumn="0" w:noHBand="0" w:noVBand="1"/>
      </w:tblPr>
      <w:tblGrid>
        <w:gridCol w:w="4863"/>
        <w:gridCol w:w="1173"/>
        <w:gridCol w:w="1624"/>
        <w:gridCol w:w="1624"/>
      </w:tblGrid>
      <w:tr w:rsidR="00671B34" w:rsidRPr="00293BC3" w:rsidTr="002E3837">
        <w:trPr>
          <w:trHeight w:val="1200"/>
        </w:trPr>
        <w:tc>
          <w:tcPr>
            <w:tcW w:w="4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1B34" w:rsidRPr="00293BC3" w:rsidRDefault="00671B34" w:rsidP="002E3837">
            <w:pPr>
              <w:suppressAutoHyphens w:val="0"/>
              <w:spacing w:after="0" w:line="240" w:lineRule="auto"/>
              <w:rPr>
                <w:rFonts w:eastAsia="Times New Roman" w:cs="Calibri"/>
                <w:b/>
                <w:bCs/>
                <w:color w:val="000000"/>
                <w:lang w:eastAsia="hu-HU"/>
              </w:rPr>
            </w:pPr>
            <w:r>
              <w:rPr>
                <w:rFonts w:eastAsia="Times New Roman" w:cs="Calibri"/>
                <w:b/>
                <w:bCs/>
                <w:color w:val="000000"/>
                <w:lang w:eastAsia="hu-HU"/>
              </w:rPr>
              <w:t>Számlázott v</w:t>
            </w:r>
            <w:r w:rsidRPr="00293BC3">
              <w:rPr>
                <w:rFonts w:eastAsia="Times New Roman" w:cs="Calibri"/>
                <w:b/>
                <w:bCs/>
                <w:color w:val="000000"/>
                <w:lang w:eastAsia="hu-HU"/>
              </w:rPr>
              <w:t xml:space="preserve">illanyáram                                                      </w:t>
            </w:r>
            <w:r>
              <w:rPr>
                <w:rFonts w:eastAsia="Times New Roman" w:cs="Calibri"/>
                <w:b/>
                <w:bCs/>
                <w:color w:val="000000"/>
                <w:lang w:eastAsia="hu-HU"/>
              </w:rPr>
              <w:t>f</w:t>
            </w:r>
            <w:r w:rsidRPr="00293BC3">
              <w:rPr>
                <w:rFonts w:eastAsia="Times New Roman" w:cs="Calibri"/>
                <w:b/>
                <w:bCs/>
                <w:color w:val="000000"/>
                <w:lang w:eastAsia="hu-HU"/>
              </w:rPr>
              <w:t>elhasználási hely 201</w:t>
            </w:r>
            <w:r>
              <w:rPr>
                <w:rFonts w:eastAsia="Times New Roman" w:cs="Calibri"/>
                <w:b/>
                <w:bCs/>
                <w:color w:val="000000"/>
                <w:lang w:eastAsia="hu-HU"/>
              </w:rPr>
              <w:t>7</w:t>
            </w:r>
          </w:p>
        </w:tc>
        <w:tc>
          <w:tcPr>
            <w:tcW w:w="1173" w:type="dxa"/>
            <w:tcBorders>
              <w:top w:val="single" w:sz="4" w:space="0" w:color="auto"/>
              <w:left w:val="nil"/>
              <w:bottom w:val="single" w:sz="4" w:space="0" w:color="auto"/>
              <w:right w:val="single" w:sz="4" w:space="0" w:color="auto"/>
            </w:tcBorders>
            <w:vAlign w:val="bottom"/>
          </w:tcPr>
          <w:p w:rsidR="00671B34" w:rsidRPr="00132DF5" w:rsidRDefault="00671B34" w:rsidP="002E3837">
            <w:pPr>
              <w:rPr>
                <w:rFonts w:cs="Calibri"/>
                <w:b/>
                <w:color w:val="000000"/>
              </w:rPr>
            </w:pPr>
            <w:r w:rsidRPr="00132DF5">
              <w:rPr>
                <w:rFonts w:cs="Calibri"/>
                <w:b/>
                <w:color w:val="000000"/>
              </w:rPr>
              <w:t>Leolvasott fogyasztás, kWh</w:t>
            </w:r>
          </w:p>
        </w:tc>
        <w:tc>
          <w:tcPr>
            <w:tcW w:w="1624" w:type="dxa"/>
            <w:tcBorders>
              <w:top w:val="single" w:sz="4" w:space="0" w:color="auto"/>
              <w:left w:val="nil"/>
              <w:bottom w:val="single" w:sz="4" w:space="0" w:color="auto"/>
              <w:right w:val="single" w:sz="4" w:space="0" w:color="auto"/>
            </w:tcBorders>
            <w:vAlign w:val="bottom"/>
          </w:tcPr>
          <w:p w:rsidR="00671B34" w:rsidRPr="00EE71EC" w:rsidRDefault="00671B34" w:rsidP="002E3837">
            <w:pPr>
              <w:rPr>
                <w:rFonts w:cs="Calibri"/>
                <w:b/>
                <w:color w:val="000000"/>
              </w:rPr>
            </w:pPr>
            <w:r w:rsidRPr="00EE71EC">
              <w:rPr>
                <w:rFonts w:cs="Calibri"/>
                <w:b/>
                <w:color w:val="000000"/>
              </w:rPr>
              <w:t>Áramfogyasztás számlázás szerint</w:t>
            </w:r>
            <w:r>
              <w:rPr>
                <w:rFonts w:cs="Calibri"/>
                <w:b/>
                <w:color w:val="000000"/>
              </w:rPr>
              <w:t>*</w:t>
            </w:r>
            <w:r w:rsidRPr="00EE71EC">
              <w:rPr>
                <w:rFonts w:cs="Calibri"/>
                <w:b/>
                <w:color w:val="000000"/>
              </w:rPr>
              <w:t>, kWh</w:t>
            </w:r>
          </w:p>
        </w:tc>
        <w:tc>
          <w:tcPr>
            <w:tcW w:w="1624" w:type="dxa"/>
            <w:tcBorders>
              <w:top w:val="single" w:sz="4" w:space="0" w:color="auto"/>
              <w:left w:val="nil"/>
              <w:bottom w:val="single" w:sz="4" w:space="0" w:color="auto"/>
              <w:right w:val="single" w:sz="4" w:space="0" w:color="auto"/>
            </w:tcBorders>
            <w:vAlign w:val="bottom"/>
          </w:tcPr>
          <w:p w:rsidR="00671B34" w:rsidRPr="00EE71EC" w:rsidRDefault="00671B34" w:rsidP="002E3837">
            <w:pPr>
              <w:rPr>
                <w:rFonts w:cs="Calibri"/>
                <w:b/>
                <w:color w:val="000000"/>
              </w:rPr>
            </w:pPr>
            <w:r>
              <w:rPr>
                <w:rFonts w:cs="Calibri"/>
                <w:b/>
                <w:color w:val="000000"/>
              </w:rPr>
              <w:t>Számlázott összeg</w:t>
            </w:r>
            <w:r w:rsidRPr="00EE71EC">
              <w:rPr>
                <w:rFonts w:cs="Calibri"/>
                <w:b/>
                <w:color w:val="000000"/>
              </w:rPr>
              <w:t>, HUF</w:t>
            </w:r>
          </w:p>
        </w:tc>
      </w:tr>
      <w:tr w:rsidR="00671B34" w:rsidRPr="00293BC3" w:rsidTr="002E3837">
        <w:trPr>
          <w:trHeight w:hRule="exact" w:val="284"/>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Városháza</w:t>
            </w:r>
          </w:p>
        </w:tc>
        <w:tc>
          <w:tcPr>
            <w:tcW w:w="1173" w:type="dxa"/>
            <w:tcBorders>
              <w:top w:val="single" w:sz="4" w:space="0" w:color="auto"/>
              <w:left w:val="single" w:sz="4" w:space="0" w:color="auto"/>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0</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 xml:space="preserve">Martonvásári Közvilágítás </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230 896</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230 896</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10 137 134</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Beethoven Ált.</w:t>
            </w:r>
            <w:r>
              <w:rPr>
                <w:rFonts w:eastAsia="Times New Roman" w:cs="Calibri"/>
                <w:color w:val="000000"/>
                <w:lang w:eastAsia="hu-HU"/>
              </w:rPr>
              <w:t xml:space="preserve"> </w:t>
            </w:r>
            <w:r w:rsidRPr="00293BC3">
              <w:rPr>
                <w:rFonts w:eastAsia="Times New Roman" w:cs="Calibri"/>
                <w:color w:val="000000"/>
                <w:lang w:eastAsia="hu-HU"/>
              </w:rPr>
              <w:t>Isk.</w:t>
            </w:r>
            <w:r>
              <w:rPr>
                <w:rFonts w:eastAsia="Times New Roman" w:cs="Calibri"/>
                <w:color w:val="000000"/>
                <w:lang w:eastAsia="hu-HU"/>
              </w:rPr>
              <w:t xml:space="preserve"> A ép.</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61 820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61 840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2 505 915</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Pr>
                <w:rFonts w:eastAsia="Times New Roman" w:cs="Calibri"/>
                <w:color w:val="000000"/>
                <w:lang w:eastAsia="hu-HU"/>
              </w:rPr>
              <w:t>Művészeti Iskola</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10 909</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10 913</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442 220</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Beethoven Ált.</w:t>
            </w:r>
            <w:r>
              <w:rPr>
                <w:rFonts w:eastAsia="Times New Roman" w:cs="Calibri"/>
                <w:color w:val="000000"/>
                <w:lang w:eastAsia="hu-HU"/>
              </w:rPr>
              <w:t xml:space="preserve"> </w:t>
            </w:r>
            <w:r w:rsidRPr="00293BC3">
              <w:rPr>
                <w:rFonts w:eastAsia="Times New Roman" w:cs="Calibri"/>
                <w:color w:val="000000"/>
                <w:lang w:eastAsia="hu-HU"/>
              </w:rPr>
              <w:t>Isk.</w:t>
            </w:r>
            <w:r>
              <w:rPr>
                <w:rFonts w:eastAsia="Times New Roman" w:cs="Calibri"/>
                <w:color w:val="000000"/>
                <w:lang w:eastAsia="hu-HU"/>
              </w:rPr>
              <w:t xml:space="preserve"> B ép.</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15 587</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15 587</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620 462</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Pr>
                <w:rFonts w:eastAsia="Times New Roman" w:cs="Calibri"/>
                <w:color w:val="000000"/>
                <w:lang w:eastAsia="hu-HU"/>
              </w:rPr>
              <w:t>Tóth Iván Sportcsarnok</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110 710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107 525</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4 081 627</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Emlékezés tere 1074</w:t>
            </w:r>
            <w:r>
              <w:rPr>
                <w:rFonts w:eastAsia="Times New Roman" w:cs="Calibri"/>
                <w:color w:val="000000"/>
                <w:lang w:eastAsia="hu-HU"/>
              </w:rPr>
              <w:t xml:space="preserve"> (patak, térvilágítás)</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8 711</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13 966</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551 785</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Emlékezés tere 0001 (</w:t>
            </w:r>
            <w:r>
              <w:rPr>
                <w:rFonts w:eastAsia="Times New Roman" w:cs="Calibri"/>
                <w:color w:val="000000"/>
                <w:lang w:eastAsia="hu-HU"/>
              </w:rPr>
              <w:t>rendezvények</w:t>
            </w:r>
            <w:r w:rsidRPr="00293BC3">
              <w:rPr>
                <w:rFonts w:eastAsia="Times New Roman" w:cs="Calibri"/>
                <w:color w:val="000000"/>
                <w:lang w:eastAsia="hu-HU"/>
              </w:rPr>
              <w:t>)</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65</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70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4 658</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Emlékezés tere 1. (védőnői)</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903</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918</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38 241</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BB</w:t>
            </w:r>
            <w:r>
              <w:rPr>
                <w:rFonts w:eastAsia="Times New Roman" w:cs="Calibri"/>
                <w:color w:val="000000"/>
                <w:lang w:eastAsia="hu-HU"/>
              </w:rPr>
              <w:t>K</w:t>
            </w:r>
            <w:r w:rsidRPr="00293BC3">
              <w:rPr>
                <w:rFonts w:eastAsia="Times New Roman" w:cs="Calibri"/>
                <w:color w:val="000000"/>
                <w:lang w:eastAsia="hu-HU"/>
              </w:rPr>
              <w:t xml:space="preserve"> KÖZPONT</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42 618</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44 077</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1 801 775</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Brunszvik Teréz Óvoda</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23 376</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21 329</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848 345</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Gyermek és fogorvosi rendelő</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5 364</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5 561</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222 555</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Orgona u. Halottasház</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889</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953</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39 659</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Orgona u.</w:t>
            </w:r>
            <w:r>
              <w:rPr>
                <w:rFonts w:eastAsia="Times New Roman" w:cs="Calibri"/>
                <w:color w:val="000000"/>
                <w:lang w:eastAsia="hu-HU"/>
              </w:rPr>
              <w:t xml:space="preserve"> </w:t>
            </w:r>
            <w:r w:rsidRPr="00293BC3">
              <w:rPr>
                <w:rFonts w:eastAsia="Times New Roman" w:cs="Calibri"/>
                <w:color w:val="000000"/>
                <w:lang w:eastAsia="hu-HU"/>
              </w:rPr>
              <w:t>16. lakás</w:t>
            </w:r>
          </w:p>
        </w:tc>
        <w:tc>
          <w:tcPr>
            <w:tcW w:w="1173" w:type="dxa"/>
            <w:tcBorders>
              <w:top w:val="single" w:sz="4" w:space="0" w:color="auto"/>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1 842</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Kistérségi Szociális Központ</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21 084</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18 605</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902 240</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Könyvtár</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4 720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4 100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164 856</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i/>
                <w:iCs/>
                <w:color w:val="000000"/>
                <w:lang w:eastAsia="hu-HU"/>
              </w:rPr>
            </w:pPr>
            <w:r w:rsidRPr="00293BC3">
              <w:rPr>
                <w:rFonts w:eastAsia="Times New Roman" w:cs="Calibri"/>
                <w:i/>
                <w:iCs/>
                <w:color w:val="000000"/>
                <w:lang w:eastAsia="hu-HU"/>
              </w:rPr>
              <w:t>Orvosi lakás vezérelt</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1 060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790</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30 031</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Orvosi lakás</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793</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573</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35 833</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 xml:space="preserve">Orvosi rendelő </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2 992</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2 981</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122 100</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Sportköz</w:t>
            </w:r>
            <w:r>
              <w:rPr>
                <w:rFonts w:eastAsia="Times New Roman" w:cs="Calibri"/>
                <w:color w:val="000000"/>
                <w:lang w:eastAsia="hu-HU"/>
              </w:rPr>
              <w:t>pont</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18 727</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16 194</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675 967</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293BC3" w:rsidRDefault="00671B34" w:rsidP="002E3837">
            <w:pPr>
              <w:suppressAutoHyphens w:val="0"/>
              <w:spacing w:after="0" w:line="240" w:lineRule="auto"/>
              <w:rPr>
                <w:rFonts w:eastAsia="Times New Roman" w:cs="Calibri"/>
                <w:color w:val="000000"/>
                <w:lang w:eastAsia="hu-HU"/>
              </w:rPr>
            </w:pPr>
            <w:r w:rsidRPr="00293BC3">
              <w:rPr>
                <w:rFonts w:eastAsia="Times New Roman" w:cs="Calibri"/>
                <w:color w:val="000000"/>
                <w:lang w:eastAsia="hu-HU"/>
              </w:rPr>
              <w:t>Dózsa Gy</w:t>
            </w:r>
            <w:r>
              <w:rPr>
                <w:rFonts w:eastAsia="Times New Roman" w:cs="Calibri"/>
                <w:color w:val="000000"/>
                <w:lang w:eastAsia="hu-HU"/>
              </w:rPr>
              <w:t>örgy</w:t>
            </w:r>
            <w:r w:rsidRPr="00293BC3">
              <w:rPr>
                <w:rFonts w:eastAsia="Times New Roman" w:cs="Calibri"/>
                <w:color w:val="000000"/>
                <w:lang w:eastAsia="hu-HU"/>
              </w:rPr>
              <w:t xml:space="preserve"> út 6. oszlop 1</w:t>
            </w:r>
          </w:p>
        </w:tc>
        <w:tc>
          <w:tcPr>
            <w:tcW w:w="117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11 912</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9 879</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400 738</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7E6150" w:rsidRDefault="00671B34" w:rsidP="002E3837">
            <w:pPr>
              <w:suppressAutoHyphens w:val="0"/>
              <w:spacing w:after="0" w:line="240" w:lineRule="auto"/>
              <w:rPr>
                <w:rFonts w:eastAsia="Times New Roman" w:cs="Calibri"/>
                <w:color w:val="000000"/>
                <w:lang w:eastAsia="hu-HU"/>
              </w:rPr>
            </w:pPr>
            <w:r w:rsidRPr="007E6150">
              <w:rPr>
                <w:rFonts w:eastAsia="Times New Roman" w:cs="Calibri"/>
                <w:color w:val="000000"/>
                <w:lang w:eastAsia="hu-HU"/>
              </w:rPr>
              <w:t>Dózsa György út 6. oszlop 2</w:t>
            </w:r>
          </w:p>
        </w:tc>
        <w:tc>
          <w:tcPr>
            <w:tcW w:w="1173" w:type="dxa"/>
            <w:tcBorders>
              <w:top w:val="single" w:sz="4" w:space="0" w:color="auto"/>
              <w:left w:val="nil"/>
              <w:bottom w:val="single" w:sz="4" w:space="0" w:color="auto"/>
              <w:right w:val="single" w:sz="4" w:space="0" w:color="auto"/>
            </w:tcBorders>
            <w:vAlign w:val="bottom"/>
          </w:tcPr>
          <w:p w:rsidR="00671B34" w:rsidRPr="007E6150" w:rsidRDefault="00671B34" w:rsidP="002E3837">
            <w:pPr>
              <w:jc w:val="right"/>
              <w:rPr>
                <w:rFonts w:cs="Calibri"/>
                <w:color w:val="000000"/>
              </w:rPr>
            </w:pPr>
            <w:r w:rsidRPr="007E6150">
              <w:rPr>
                <w:rFonts w:cs="Calibri"/>
                <w:color w:val="000000"/>
              </w:rPr>
              <w:t>22 626</w:t>
            </w:r>
          </w:p>
        </w:tc>
        <w:tc>
          <w:tcPr>
            <w:tcW w:w="1624" w:type="dxa"/>
            <w:tcBorders>
              <w:top w:val="single" w:sz="4" w:space="0" w:color="auto"/>
              <w:left w:val="nil"/>
              <w:bottom w:val="single" w:sz="4" w:space="0" w:color="auto"/>
              <w:right w:val="single" w:sz="4" w:space="0" w:color="auto"/>
            </w:tcBorders>
            <w:vAlign w:val="bottom"/>
          </w:tcPr>
          <w:p w:rsidR="00671B34" w:rsidRPr="007E6150" w:rsidRDefault="00671B34" w:rsidP="002E3837">
            <w:pPr>
              <w:jc w:val="right"/>
              <w:rPr>
                <w:rFonts w:cs="Calibri"/>
                <w:color w:val="000000"/>
              </w:rPr>
            </w:pPr>
            <w:r w:rsidRPr="007E6150">
              <w:rPr>
                <w:rFonts w:cs="Calibri"/>
                <w:color w:val="000000"/>
              </w:rPr>
              <w:t>21 605</w:t>
            </w: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873 698</w:t>
            </w: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7E6150" w:rsidRDefault="00671B34" w:rsidP="002E3837">
            <w:pPr>
              <w:suppressAutoHyphens w:val="0"/>
              <w:spacing w:after="0" w:line="240" w:lineRule="auto"/>
              <w:rPr>
                <w:rFonts w:eastAsia="Times New Roman" w:cs="Calibri"/>
                <w:color w:val="000000"/>
                <w:lang w:eastAsia="hu-HU"/>
              </w:rPr>
            </w:pPr>
            <w:r w:rsidRPr="007E6150">
              <w:rPr>
                <w:rFonts w:eastAsia="Times New Roman" w:cs="Calibri"/>
                <w:color w:val="000000"/>
                <w:lang w:eastAsia="hu-HU"/>
              </w:rPr>
              <w:t> </w:t>
            </w:r>
          </w:p>
        </w:tc>
        <w:tc>
          <w:tcPr>
            <w:tcW w:w="1173" w:type="dxa"/>
            <w:tcBorders>
              <w:top w:val="single" w:sz="4" w:space="0" w:color="auto"/>
              <w:left w:val="nil"/>
              <w:bottom w:val="single" w:sz="4" w:space="0" w:color="auto"/>
              <w:right w:val="single" w:sz="4" w:space="0" w:color="auto"/>
            </w:tcBorders>
          </w:tcPr>
          <w:p w:rsidR="00671B34" w:rsidRPr="007E6150" w:rsidRDefault="00671B34" w:rsidP="002E3837">
            <w:pPr>
              <w:suppressAutoHyphens w:val="0"/>
              <w:spacing w:after="0" w:line="240" w:lineRule="auto"/>
              <w:rPr>
                <w:rFonts w:eastAsia="Times New Roman" w:cs="Calibri"/>
                <w:color w:val="000000"/>
                <w:lang w:eastAsia="hu-HU"/>
              </w:rPr>
            </w:pPr>
          </w:p>
        </w:tc>
        <w:tc>
          <w:tcPr>
            <w:tcW w:w="1624" w:type="dxa"/>
            <w:tcBorders>
              <w:top w:val="single" w:sz="4" w:space="0" w:color="auto"/>
              <w:left w:val="nil"/>
              <w:bottom w:val="single" w:sz="4" w:space="0" w:color="auto"/>
              <w:right w:val="single" w:sz="4" w:space="0" w:color="auto"/>
            </w:tcBorders>
            <w:vAlign w:val="bottom"/>
          </w:tcPr>
          <w:p w:rsidR="00671B34" w:rsidRPr="007E6150" w:rsidRDefault="00671B34" w:rsidP="002E3837">
            <w:pPr>
              <w:rPr>
                <w:rFonts w:cs="Calibri"/>
                <w:color w:val="000000"/>
              </w:rPr>
            </w:pPr>
          </w:p>
        </w:tc>
        <w:tc>
          <w:tcPr>
            <w:tcW w:w="1624" w:type="dxa"/>
            <w:tcBorders>
              <w:top w:val="single" w:sz="4" w:space="0" w:color="auto"/>
              <w:left w:val="nil"/>
              <w:bottom w:val="single" w:sz="4" w:space="0" w:color="auto"/>
              <w:right w:val="single" w:sz="4" w:space="0" w:color="auto"/>
            </w:tcBorders>
            <w:vAlign w:val="bottom"/>
          </w:tcPr>
          <w:p w:rsidR="00671B34" w:rsidRDefault="00671B34" w:rsidP="002E3837">
            <w:pPr>
              <w:rPr>
                <w:rFonts w:cs="Calibri"/>
                <w:color w:val="000000"/>
              </w:rPr>
            </w:pPr>
          </w:p>
        </w:tc>
      </w:tr>
      <w:tr w:rsidR="00671B34" w:rsidRPr="00293BC3" w:rsidTr="002E3837">
        <w:trPr>
          <w:trHeight w:hRule="exact" w:val="284"/>
        </w:trPr>
        <w:tc>
          <w:tcPr>
            <w:tcW w:w="4863" w:type="dxa"/>
            <w:tcBorders>
              <w:top w:val="nil"/>
              <w:left w:val="single" w:sz="4" w:space="0" w:color="auto"/>
              <w:bottom w:val="single" w:sz="4" w:space="0" w:color="auto"/>
              <w:right w:val="single" w:sz="4" w:space="0" w:color="auto"/>
            </w:tcBorders>
            <w:shd w:val="clear" w:color="auto" w:fill="auto"/>
            <w:noWrap/>
            <w:vAlign w:val="bottom"/>
            <w:hideMark/>
          </w:tcPr>
          <w:p w:rsidR="00671B34" w:rsidRPr="007E6150" w:rsidRDefault="00671B34" w:rsidP="002E3837">
            <w:pPr>
              <w:suppressAutoHyphens w:val="0"/>
              <w:spacing w:after="0" w:line="240" w:lineRule="auto"/>
              <w:rPr>
                <w:rFonts w:eastAsia="Times New Roman" w:cs="Calibri"/>
                <w:color w:val="000000"/>
                <w:lang w:eastAsia="hu-HU"/>
              </w:rPr>
            </w:pPr>
            <w:r w:rsidRPr="007E6150">
              <w:rPr>
                <w:rFonts w:eastAsia="Times New Roman" w:cs="Calibri"/>
                <w:color w:val="000000"/>
                <w:lang w:eastAsia="hu-HU"/>
              </w:rPr>
              <w:t>Összesen</w:t>
            </w:r>
          </w:p>
        </w:tc>
        <w:tc>
          <w:tcPr>
            <w:tcW w:w="1173" w:type="dxa"/>
            <w:tcBorders>
              <w:top w:val="single" w:sz="4" w:space="0" w:color="auto"/>
              <w:left w:val="nil"/>
              <w:bottom w:val="single" w:sz="4" w:space="0" w:color="auto"/>
              <w:right w:val="single" w:sz="4" w:space="0" w:color="auto"/>
            </w:tcBorders>
            <w:vAlign w:val="bottom"/>
          </w:tcPr>
          <w:p w:rsidR="00671B34" w:rsidRPr="007E6150" w:rsidRDefault="00671B34" w:rsidP="002E3837">
            <w:pPr>
              <w:jc w:val="right"/>
              <w:rPr>
                <w:rFonts w:cs="Calibri"/>
                <w:color w:val="000000"/>
              </w:rPr>
            </w:pPr>
            <w:r w:rsidRPr="007E6150">
              <w:rPr>
                <w:rFonts w:cs="Calibri"/>
                <w:color w:val="000000"/>
              </w:rPr>
              <w:t>600</w:t>
            </w:r>
            <w:r>
              <w:rPr>
                <w:rFonts w:cs="Calibri"/>
                <w:color w:val="000000"/>
              </w:rPr>
              <w:t xml:space="preserve"> </w:t>
            </w:r>
            <w:r w:rsidRPr="007E6150">
              <w:rPr>
                <w:rFonts w:cs="Calibri"/>
                <w:color w:val="000000"/>
              </w:rPr>
              <w:t>199</w:t>
            </w:r>
          </w:p>
        </w:tc>
        <w:tc>
          <w:tcPr>
            <w:tcW w:w="1624" w:type="dxa"/>
            <w:tcBorders>
              <w:top w:val="single" w:sz="4" w:space="0" w:color="auto"/>
              <w:left w:val="nil"/>
              <w:bottom w:val="single" w:sz="4" w:space="0" w:color="auto"/>
              <w:right w:val="single" w:sz="4" w:space="0" w:color="auto"/>
            </w:tcBorders>
            <w:vAlign w:val="bottom"/>
          </w:tcPr>
          <w:p w:rsidR="00671B34" w:rsidRPr="007E6150" w:rsidRDefault="00671B34" w:rsidP="002E3837">
            <w:pPr>
              <w:pStyle w:val="Listaszerbekezds"/>
              <w:ind w:left="0"/>
              <w:jc w:val="right"/>
              <w:rPr>
                <w:rFonts w:asciiTheme="minorHAnsi" w:hAnsiTheme="minorHAnsi" w:cstheme="minorHAnsi"/>
                <w:b w:val="0"/>
              </w:rPr>
            </w:pPr>
            <w:r w:rsidRPr="007E6150">
              <w:rPr>
                <w:rFonts w:asciiTheme="minorHAnsi" w:hAnsiTheme="minorHAnsi" w:cstheme="minorHAnsi"/>
                <w:b w:val="0"/>
              </w:rPr>
              <w:t>588</w:t>
            </w:r>
            <w:r>
              <w:rPr>
                <w:rFonts w:asciiTheme="minorHAnsi" w:hAnsiTheme="minorHAnsi" w:cstheme="minorHAnsi"/>
                <w:b w:val="0"/>
              </w:rPr>
              <w:t xml:space="preserve"> 362</w:t>
            </w:r>
          </w:p>
        </w:tc>
        <w:tc>
          <w:tcPr>
            <w:tcW w:w="1624" w:type="dxa"/>
            <w:tcBorders>
              <w:top w:val="single" w:sz="4" w:space="0" w:color="auto"/>
              <w:left w:val="nil"/>
              <w:bottom w:val="single" w:sz="4" w:space="0" w:color="auto"/>
              <w:right w:val="single" w:sz="4" w:space="0" w:color="auto"/>
            </w:tcBorders>
            <w:vAlign w:val="bottom"/>
          </w:tcPr>
          <w:p w:rsidR="00671B34" w:rsidRPr="007E6150" w:rsidRDefault="00671B34" w:rsidP="002E3837">
            <w:pPr>
              <w:ind w:left="360"/>
              <w:jc w:val="right"/>
              <w:rPr>
                <w:rFonts w:cs="Calibri"/>
              </w:rPr>
            </w:pPr>
            <w:r>
              <w:rPr>
                <w:rFonts w:cs="Calibri"/>
              </w:rPr>
              <w:t xml:space="preserve">24 </w:t>
            </w:r>
            <w:r w:rsidRPr="007E6150">
              <w:rPr>
                <w:rFonts w:cs="Calibri"/>
              </w:rPr>
              <w:t>501 681</w:t>
            </w:r>
          </w:p>
        </w:tc>
      </w:tr>
    </w:tbl>
    <w:p w:rsidR="00671B34" w:rsidRPr="00797A38" w:rsidRDefault="00671B34" w:rsidP="00671B34">
      <w:pPr>
        <w:pStyle w:val="Listaszerbekezds"/>
        <w:ind w:left="927"/>
        <w:jc w:val="both"/>
        <w:rPr>
          <w:rFonts w:ascii="Arial Narrow" w:hAnsi="Arial Narrow"/>
          <w:b w:val="0"/>
        </w:rPr>
      </w:pPr>
      <w:r>
        <w:rPr>
          <w:rFonts w:ascii="Arial Narrow" w:hAnsi="Arial Narrow"/>
          <w:b w:val="0"/>
        </w:rPr>
        <w:t>*A számlázás kalkulált éves fogyasztás alapján történik</w:t>
      </w:r>
    </w:p>
    <w:p w:rsidR="00671B34" w:rsidRPr="00603E78" w:rsidRDefault="00671B34" w:rsidP="00671B34">
      <w:pPr>
        <w:jc w:val="both"/>
        <w:rPr>
          <w:rFonts w:ascii="Arial Narrow" w:hAnsi="Arial Narrow"/>
        </w:rPr>
      </w:pPr>
    </w:p>
    <w:p w:rsidR="00671B34" w:rsidRDefault="00671B34" w:rsidP="00671B34">
      <w:pPr>
        <w:pStyle w:val="Listaszerbekezds"/>
        <w:ind w:left="0"/>
        <w:jc w:val="both"/>
        <w:rPr>
          <w:rFonts w:ascii="Arial Narrow" w:hAnsi="Arial Narrow"/>
          <w:b w:val="0"/>
        </w:rPr>
      </w:pPr>
      <w:r>
        <w:rPr>
          <w:rFonts w:ascii="Arial Narrow" w:hAnsi="Arial Narrow"/>
          <w:b w:val="0"/>
        </w:rPr>
        <w:t xml:space="preserve"> A városházán 2015. augusztus 10-én elindult háztartási méretű kiserőmű termelése jótékony hatással volt a vásárolt energia felhasználásunkra. Havi bontásban a rendszer indulásáig 1800-2500 kWh havi fogyasztása volt a háznak. A 2016. év első felében a termelés és a fogyasztás fej-fej mellett haladt, ezért a tulajdonos döntése alapján a Járási Hivatal fogyasztása is rákapcsolódott a mérőre. A Sportcsarnok építésének utolsó fázisában szintén innen nyert betáplálást. Az éves fogyasztás 14 556 kWh, a termelés 14 717 kWh, ezt havonta a számlákban kompenzálták. A városháza eredő fogyasztása így nulla, a teljes maradó fogyasztás a Járási Hivatal épületénél jelentkezik.</w:t>
      </w:r>
    </w:p>
    <w:p w:rsidR="00671B34" w:rsidRDefault="00671B34" w:rsidP="00671B34">
      <w:pPr>
        <w:pStyle w:val="Listaszerbekezds"/>
        <w:ind w:left="0"/>
        <w:jc w:val="both"/>
        <w:rPr>
          <w:rFonts w:ascii="Arial Narrow" w:hAnsi="Arial Narrow"/>
          <w:b w:val="0"/>
        </w:rPr>
      </w:pPr>
      <w:r w:rsidRPr="00967B68">
        <w:rPr>
          <w:rFonts w:ascii="Arial Narrow" w:hAnsi="Arial Narrow"/>
          <w:b w:val="0"/>
        </w:rPr>
        <w:t xml:space="preserve"> A közvilágítás számlázott értéke </w:t>
      </w:r>
      <w:r>
        <w:rPr>
          <w:rFonts w:ascii="Arial Narrow" w:hAnsi="Arial Narrow"/>
          <w:b w:val="0"/>
        </w:rPr>
        <w:t>ebben az évben végre megnyugtatóan rendeződött. A teljes, bővített hálózatunk belekerült (Kismarton, Erdőhát, Szent László Sétány) és valós értékkel számlázták</w:t>
      </w:r>
      <w:r w:rsidRPr="00967B68">
        <w:rPr>
          <w:rFonts w:ascii="Arial Narrow" w:hAnsi="Arial Narrow"/>
          <w:b w:val="0"/>
        </w:rPr>
        <w:t xml:space="preserve">. </w:t>
      </w:r>
    </w:p>
    <w:p w:rsidR="00671B34" w:rsidRDefault="00671B34" w:rsidP="00671B34">
      <w:pPr>
        <w:pStyle w:val="Listaszerbekezds"/>
        <w:ind w:left="0"/>
        <w:jc w:val="both"/>
        <w:rPr>
          <w:rFonts w:ascii="Arial Narrow" w:hAnsi="Arial Narrow"/>
          <w:b w:val="0"/>
        </w:rPr>
      </w:pPr>
      <w:r>
        <w:rPr>
          <w:rFonts w:ascii="Arial Narrow" w:hAnsi="Arial Narrow"/>
          <w:b w:val="0"/>
        </w:rPr>
        <w:t>Az Emlékezés terének világítása és a szivattyúk fogyasztása júniusig alul volt számlázva, júliusban egyszeri nagy összeggel került kompenzálásra az elmaradás.</w:t>
      </w:r>
    </w:p>
    <w:p w:rsidR="00671B34" w:rsidRDefault="00671B34" w:rsidP="00671B34">
      <w:pPr>
        <w:pStyle w:val="Listaszerbekezds"/>
        <w:ind w:left="0"/>
        <w:jc w:val="both"/>
        <w:rPr>
          <w:rFonts w:ascii="Arial Narrow" w:hAnsi="Arial Narrow"/>
          <w:b w:val="0"/>
        </w:rPr>
      </w:pPr>
      <w:r>
        <w:rPr>
          <w:rFonts w:ascii="Arial Narrow" w:hAnsi="Arial Narrow"/>
          <w:b w:val="0"/>
        </w:rPr>
        <w:t xml:space="preserve"> </w:t>
      </w:r>
      <w:r w:rsidRPr="00967B68">
        <w:rPr>
          <w:rFonts w:ascii="Arial Narrow" w:hAnsi="Arial Narrow"/>
          <w:b w:val="0"/>
        </w:rPr>
        <w:t xml:space="preserve">Az általános iskola fogyasztása </w:t>
      </w:r>
      <w:r>
        <w:rPr>
          <w:rFonts w:ascii="Arial Narrow" w:hAnsi="Arial Narrow"/>
          <w:b w:val="0"/>
        </w:rPr>
        <w:t>jelentős</w:t>
      </w:r>
      <w:r w:rsidRPr="00967B68">
        <w:rPr>
          <w:rFonts w:ascii="Arial Narrow" w:hAnsi="Arial Narrow"/>
          <w:b w:val="0"/>
        </w:rPr>
        <w:t>, köszönhetően pl. a ’B’ épületben működő nagyteljesítményű légkondicionálásnak, mindkét épület jelentős világítási igényének. A tornateremben</w:t>
      </w:r>
      <w:r>
        <w:rPr>
          <w:rFonts w:ascii="Arial Narrow" w:hAnsi="Arial Narrow"/>
          <w:b w:val="0"/>
        </w:rPr>
        <w:t xml:space="preserve"> </w:t>
      </w:r>
      <w:r w:rsidRPr="00967B68">
        <w:rPr>
          <w:rFonts w:ascii="Arial Narrow" w:hAnsi="Arial Narrow"/>
          <w:b w:val="0"/>
        </w:rPr>
        <w:t>a hét minden napján szinte folyamatos a világítás. A tornaterem világítása elavult és</w:t>
      </w:r>
      <w:r>
        <w:rPr>
          <w:rFonts w:ascii="Arial Narrow" w:hAnsi="Arial Narrow"/>
          <w:b w:val="0"/>
        </w:rPr>
        <w:t xml:space="preserve"> energiapazarló, korszerűsítését be kell tervezni, annál </w:t>
      </w:r>
      <w:r>
        <w:rPr>
          <w:rFonts w:ascii="Arial Narrow" w:hAnsi="Arial Narrow"/>
          <w:b w:val="0"/>
        </w:rPr>
        <w:lastRenderedPageBreak/>
        <w:t>is inkább mivel az építkezéssel világítóablakok is elvesztek. 2016. október közepétől – tulajdonosi döntés alapján – a Malom fogyasztását is rákapcsoltuk ezen fogyasztási helyre.</w:t>
      </w:r>
    </w:p>
    <w:p w:rsidR="00671B34" w:rsidRDefault="00671B34" w:rsidP="00671B34">
      <w:pPr>
        <w:pStyle w:val="Listaszerbekezds"/>
        <w:ind w:left="0"/>
        <w:jc w:val="both"/>
        <w:rPr>
          <w:rFonts w:ascii="Arial Narrow" w:hAnsi="Arial Narrow"/>
          <w:b w:val="0"/>
        </w:rPr>
      </w:pPr>
    </w:p>
    <w:p w:rsidR="00671B34" w:rsidRDefault="00671B34" w:rsidP="00671B34">
      <w:pPr>
        <w:pStyle w:val="Listaszerbekezds"/>
        <w:ind w:left="0"/>
        <w:jc w:val="both"/>
        <w:rPr>
          <w:rFonts w:ascii="Arial Narrow" w:hAnsi="Arial Narrow"/>
          <w:b w:val="0"/>
        </w:rPr>
      </w:pPr>
      <w:r>
        <w:rPr>
          <w:rFonts w:ascii="Arial Narrow" w:hAnsi="Arial Narrow"/>
          <w:b w:val="0"/>
        </w:rPr>
        <w:t xml:space="preserve"> A Tóth Iván Sportcsarnok fogyasztása kiemelkedő, köszönhetően a jelentős időbeli leterheltséggel együtt járó világításnak és a nagyteljesítményű levegő keringtető-hűtő-fűtő rendszer folyamatos működésének.</w:t>
      </w:r>
    </w:p>
    <w:p w:rsidR="00671B34" w:rsidRDefault="00671B34" w:rsidP="00671B34">
      <w:pPr>
        <w:pStyle w:val="Listaszerbekezds"/>
        <w:ind w:left="0"/>
        <w:jc w:val="both"/>
        <w:rPr>
          <w:rFonts w:ascii="Arial Narrow" w:hAnsi="Arial Narrow"/>
          <w:b w:val="0"/>
        </w:rPr>
      </w:pPr>
    </w:p>
    <w:p w:rsidR="00671B34" w:rsidRDefault="00671B34" w:rsidP="00671B34">
      <w:pPr>
        <w:pStyle w:val="Listaszerbekezds"/>
        <w:ind w:left="0"/>
        <w:jc w:val="both"/>
        <w:rPr>
          <w:rFonts w:ascii="Arial Narrow" w:hAnsi="Arial Narrow"/>
          <w:b w:val="0"/>
        </w:rPr>
      </w:pPr>
      <w:r>
        <w:rPr>
          <w:rFonts w:ascii="Arial Narrow" w:hAnsi="Arial Narrow"/>
          <w:b w:val="0"/>
        </w:rPr>
        <w:t>A Tsz udvarban a kávézó áramigénye nőtt meg a bővülő termékkínálattal párhuzamosan és a papírbolt beköltözése okozott jelentős növekedést a fűtés miatt.</w:t>
      </w:r>
    </w:p>
    <w:p w:rsidR="00671B34" w:rsidRDefault="00671B34" w:rsidP="00671B34">
      <w:pPr>
        <w:suppressAutoHyphens w:val="0"/>
        <w:spacing w:after="0" w:line="240" w:lineRule="auto"/>
        <w:rPr>
          <w:rFonts w:ascii="Arial Narrow" w:hAnsi="Arial Narrow"/>
          <w:b/>
        </w:rPr>
      </w:pPr>
    </w:p>
    <w:p w:rsidR="00671B34" w:rsidRDefault="00671B34" w:rsidP="00671B34">
      <w:pPr>
        <w:suppressAutoHyphens w:val="0"/>
        <w:spacing w:after="0" w:line="240" w:lineRule="auto"/>
        <w:rPr>
          <w:rFonts w:ascii="Arial Narrow" w:hAnsi="Arial Narrow"/>
          <w:b/>
        </w:rPr>
      </w:pPr>
    </w:p>
    <w:p w:rsidR="00671B34" w:rsidRPr="006F11C7" w:rsidRDefault="00671B34" w:rsidP="00671B34">
      <w:pPr>
        <w:suppressAutoHyphens w:val="0"/>
        <w:spacing w:after="0" w:line="240" w:lineRule="auto"/>
        <w:rPr>
          <w:rFonts w:ascii="Arial Narrow" w:hAnsi="Arial Narrow"/>
          <w:b/>
        </w:rPr>
        <w:sectPr w:rsidR="00671B34" w:rsidRPr="006F11C7" w:rsidSect="00782BBC">
          <w:headerReference w:type="default" r:id="rId8"/>
          <w:footerReference w:type="even" r:id="rId9"/>
          <w:footerReference w:type="default" r:id="rId10"/>
          <w:pgSz w:w="11906" w:h="16838"/>
          <w:pgMar w:top="993" w:right="991" w:bottom="1134" w:left="1134" w:header="708" w:footer="708" w:gutter="0"/>
          <w:cols w:space="708"/>
          <w:docGrid w:linePitch="360"/>
        </w:sectPr>
      </w:pPr>
    </w:p>
    <w:p w:rsidR="00671B34" w:rsidRDefault="00671B34" w:rsidP="00671B34">
      <w:pPr>
        <w:suppressAutoHyphens w:val="0"/>
        <w:spacing w:after="0" w:line="240" w:lineRule="auto"/>
        <w:rPr>
          <w:rFonts w:ascii="Arial Narrow" w:eastAsia="Times New Roman" w:hAnsi="Arial Narrow"/>
          <w:color w:val="000000"/>
          <w:kern w:val="16"/>
          <w:sz w:val="24"/>
          <w:szCs w:val="24"/>
          <w:lang w:eastAsia="en-US"/>
        </w:rPr>
      </w:pPr>
      <w:r>
        <w:rPr>
          <w:rFonts w:ascii="Arial Narrow" w:eastAsia="Times New Roman" w:hAnsi="Arial Narrow"/>
          <w:noProof/>
          <w:color w:val="000000"/>
          <w:kern w:val="16"/>
          <w:sz w:val="24"/>
          <w:szCs w:val="24"/>
          <w:lang w:eastAsia="hu-HU"/>
        </w:rPr>
        <w:lastRenderedPageBreak/>
        <w:drawing>
          <wp:inline distT="0" distB="0" distL="0" distR="0" wp14:anchorId="3FFC2BC0" wp14:editId="48273752">
            <wp:extent cx="9091394" cy="4605556"/>
            <wp:effectExtent l="19050" t="0" r="0" b="0"/>
            <wp:docPr id="10"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097857" cy="4608830"/>
                    </a:xfrm>
                    <a:prstGeom prst="rect">
                      <a:avLst/>
                    </a:prstGeom>
                    <a:noFill/>
                  </pic:spPr>
                </pic:pic>
              </a:graphicData>
            </a:graphic>
          </wp:inline>
        </w:drawing>
      </w:r>
    </w:p>
    <w:p w:rsidR="00671B34" w:rsidRDefault="00671B34" w:rsidP="00671B34">
      <w:pPr>
        <w:suppressAutoHyphens w:val="0"/>
        <w:spacing w:after="0" w:line="240" w:lineRule="auto"/>
        <w:rPr>
          <w:rFonts w:ascii="Arial Narrow" w:eastAsia="Times New Roman" w:hAnsi="Arial Narrow"/>
          <w:color w:val="000000"/>
          <w:kern w:val="16"/>
          <w:sz w:val="24"/>
          <w:szCs w:val="24"/>
          <w:lang w:eastAsia="en-US"/>
        </w:rPr>
      </w:pPr>
    </w:p>
    <w:p w:rsidR="00671B34" w:rsidRDefault="00671B34" w:rsidP="00671B34">
      <w:pPr>
        <w:suppressAutoHyphens w:val="0"/>
        <w:spacing w:after="0" w:line="240" w:lineRule="auto"/>
        <w:rPr>
          <w:rFonts w:ascii="Arial Narrow" w:eastAsia="Times New Roman" w:hAnsi="Arial Narrow"/>
          <w:color w:val="000000"/>
          <w:kern w:val="16"/>
          <w:sz w:val="24"/>
          <w:szCs w:val="24"/>
          <w:lang w:eastAsia="en-US"/>
        </w:rPr>
      </w:pPr>
      <w:r>
        <w:rPr>
          <w:rFonts w:ascii="Arial Narrow" w:eastAsia="Times New Roman" w:hAnsi="Arial Narrow"/>
          <w:noProof/>
          <w:color w:val="000000"/>
          <w:kern w:val="16"/>
          <w:sz w:val="24"/>
          <w:szCs w:val="24"/>
          <w:lang w:eastAsia="hu-HU"/>
        </w:rPr>
        <w:lastRenderedPageBreak/>
        <w:drawing>
          <wp:inline distT="0" distB="0" distL="0" distR="0" wp14:anchorId="23822513" wp14:editId="52D50D0A">
            <wp:extent cx="9108172" cy="4857226"/>
            <wp:effectExtent l="19050" t="0" r="0" b="0"/>
            <wp:docPr id="1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114940" cy="4860835"/>
                    </a:xfrm>
                    <a:prstGeom prst="rect">
                      <a:avLst/>
                    </a:prstGeom>
                    <a:noFill/>
                  </pic:spPr>
                </pic:pic>
              </a:graphicData>
            </a:graphic>
          </wp:inline>
        </w:drawing>
      </w:r>
    </w:p>
    <w:p w:rsidR="00671B34" w:rsidRDefault="00671B34" w:rsidP="00671B34">
      <w:pPr>
        <w:suppressAutoHyphens w:val="0"/>
        <w:spacing w:after="0" w:line="240" w:lineRule="auto"/>
        <w:rPr>
          <w:rFonts w:ascii="Arial Narrow" w:eastAsia="Times New Roman" w:hAnsi="Arial Narrow"/>
          <w:color w:val="000000"/>
          <w:kern w:val="16"/>
          <w:sz w:val="24"/>
          <w:szCs w:val="24"/>
          <w:lang w:eastAsia="en-US"/>
        </w:rPr>
      </w:pPr>
    </w:p>
    <w:p w:rsidR="00671B34" w:rsidRDefault="00671B34" w:rsidP="00671B34">
      <w:pPr>
        <w:suppressAutoHyphens w:val="0"/>
        <w:spacing w:after="0" w:line="240" w:lineRule="auto"/>
        <w:rPr>
          <w:rFonts w:ascii="Arial Narrow" w:eastAsia="Times New Roman" w:hAnsi="Arial Narrow"/>
          <w:color w:val="000000"/>
          <w:kern w:val="16"/>
          <w:sz w:val="24"/>
          <w:szCs w:val="24"/>
          <w:lang w:eastAsia="en-US"/>
        </w:rPr>
      </w:pPr>
    </w:p>
    <w:p w:rsidR="00671B34" w:rsidRDefault="00671B34" w:rsidP="00671B34">
      <w:pPr>
        <w:suppressAutoHyphens w:val="0"/>
        <w:spacing w:after="0" w:line="240" w:lineRule="auto"/>
        <w:rPr>
          <w:rFonts w:ascii="Arial Narrow" w:eastAsia="Times New Roman" w:hAnsi="Arial Narrow"/>
          <w:color w:val="000000"/>
          <w:kern w:val="16"/>
          <w:sz w:val="24"/>
          <w:szCs w:val="24"/>
          <w:lang w:eastAsia="en-US"/>
        </w:rPr>
        <w:sectPr w:rsidR="00671B34" w:rsidSect="00550FA8">
          <w:pgSz w:w="16838" w:h="11906" w:orient="landscape"/>
          <w:pgMar w:top="1134" w:right="993" w:bottom="991" w:left="1134" w:header="708" w:footer="708" w:gutter="0"/>
          <w:cols w:space="708"/>
          <w:docGrid w:linePitch="360"/>
        </w:sectPr>
      </w:pPr>
    </w:p>
    <w:p w:rsidR="00671B34" w:rsidRPr="00BC1BAA" w:rsidRDefault="00671B34" w:rsidP="00671B34">
      <w:pPr>
        <w:suppressAutoHyphens w:val="0"/>
        <w:spacing w:after="0" w:line="240" w:lineRule="auto"/>
        <w:rPr>
          <w:rFonts w:ascii="Arial Narrow" w:eastAsia="Times New Roman" w:hAnsi="Arial Narrow"/>
          <w:color w:val="000000"/>
          <w:kern w:val="16"/>
          <w:sz w:val="24"/>
          <w:szCs w:val="24"/>
          <w:lang w:eastAsia="en-US"/>
        </w:rPr>
      </w:pPr>
    </w:p>
    <w:p w:rsidR="00671B34" w:rsidRPr="00BC1BAA" w:rsidRDefault="00671B34" w:rsidP="00671B34">
      <w:pPr>
        <w:pStyle w:val="Listaszerbekezds"/>
        <w:ind w:left="1080"/>
        <w:jc w:val="both"/>
        <w:rPr>
          <w:rFonts w:ascii="Arial Narrow" w:hAnsi="Arial Narrow"/>
          <w:b w:val="0"/>
        </w:rPr>
      </w:pPr>
    </w:p>
    <w:p w:rsidR="00671B34" w:rsidRPr="00BC1BAA" w:rsidRDefault="00671B34" w:rsidP="00671B34">
      <w:pPr>
        <w:pStyle w:val="Listaszerbekezds"/>
        <w:numPr>
          <w:ilvl w:val="0"/>
          <w:numId w:val="1"/>
        </w:numPr>
        <w:jc w:val="both"/>
        <w:rPr>
          <w:rFonts w:ascii="Arial Narrow" w:hAnsi="Arial Narrow"/>
        </w:rPr>
      </w:pPr>
      <w:r w:rsidRPr="00BC1BAA">
        <w:rPr>
          <w:rFonts w:ascii="Arial Narrow" w:hAnsi="Arial Narrow"/>
        </w:rPr>
        <w:t>Földgáz fogyasztás</w:t>
      </w:r>
    </w:p>
    <w:p w:rsidR="00671B34" w:rsidRPr="00E13231" w:rsidRDefault="00671B34" w:rsidP="00671B34">
      <w:pPr>
        <w:rPr>
          <w:rFonts w:ascii="Arial Narrow" w:hAnsi="Arial Narrow"/>
        </w:rPr>
      </w:pPr>
    </w:p>
    <w:tbl>
      <w:tblPr>
        <w:tblW w:w="0" w:type="auto"/>
        <w:tblInd w:w="789" w:type="dxa"/>
        <w:tblCellMar>
          <w:left w:w="70" w:type="dxa"/>
          <w:right w:w="70" w:type="dxa"/>
        </w:tblCellMar>
        <w:tblLook w:val="04A0" w:firstRow="1" w:lastRow="0" w:firstColumn="1" w:lastColumn="0" w:noHBand="0" w:noVBand="1"/>
      </w:tblPr>
      <w:tblGrid>
        <w:gridCol w:w="4237"/>
        <w:gridCol w:w="1818"/>
        <w:gridCol w:w="1561"/>
        <w:gridCol w:w="1366"/>
      </w:tblGrid>
      <w:tr w:rsidR="00671B34" w:rsidRPr="00761BC3" w:rsidTr="002E3837">
        <w:trPr>
          <w:trHeight w:val="89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71B34" w:rsidRPr="00761BC3" w:rsidRDefault="00671B34" w:rsidP="002E3837">
            <w:pPr>
              <w:suppressAutoHyphens w:val="0"/>
              <w:spacing w:after="0" w:line="240" w:lineRule="auto"/>
              <w:rPr>
                <w:rFonts w:eastAsia="Times New Roman" w:cs="Calibri"/>
                <w:b/>
                <w:bCs/>
                <w:color w:val="000000"/>
                <w:lang w:eastAsia="hu-HU"/>
              </w:rPr>
            </w:pPr>
            <w:r>
              <w:rPr>
                <w:rFonts w:eastAsia="Times New Roman" w:cs="Calibri"/>
                <w:b/>
                <w:bCs/>
                <w:color w:val="000000"/>
                <w:lang w:eastAsia="hu-HU"/>
              </w:rPr>
              <w:t>Számlázott f</w:t>
            </w:r>
            <w:r w:rsidRPr="00761BC3">
              <w:rPr>
                <w:rFonts w:eastAsia="Times New Roman" w:cs="Calibri"/>
                <w:b/>
                <w:bCs/>
                <w:color w:val="000000"/>
                <w:lang w:eastAsia="hu-HU"/>
              </w:rPr>
              <w:t xml:space="preserve">öldgáz                                                         </w:t>
            </w:r>
            <w:r>
              <w:rPr>
                <w:rFonts w:eastAsia="Times New Roman" w:cs="Calibri"/>
                <w:b/>
                <w:bCs/>
                <w:color w:val="000000"/>
                <w:lang w:eastAsia="hu-HU"/>
              </w:rPr>
              <w:t>f</w:t>
            </w:r>
            <w:r w:rsidRPr="00761BC3">
              <w:rPr>
                <w:rFonts w:eastAsia="Times New Roman" w:cs="Calibri"/>
                <w:b/>
                <w:bCs/>
                <w:color w:val="000000"/>
                <w:lang w:eastAsia="hu-HU"/>
              </w:rPr>
              <w:t>elhasználási hely 201</w:t>
            </w:r>
            <w:r>
              <w:rPr>
                <w:rFonts w:eastAsia="Times New Roman" w:cs="Calibri"/>
                <w:b/>
                <w:bCs/>
                <w:color w:val="000000"/>
                <w:lang w:eastAsia="hu-HU"/>
              </w:rPr>
              <w:t>7</w:t>
            </w:r>
          </w:p>
        </w:tc>
        <w:tc>
          <w:tcPr>
            <w:tcW w:w="0" w:type="auto"/>
            <w:tcBorders>
              <w:top w:val="single" w:sz="4" w:space="0" w:color="auto"/>
              <w:left w:val="nil"/>
              <w:bottom w:val="single" w:sz="4" w:space="0" w:color="auto"/>
              <w:right w:val="single" w:sz="4" w:space="0" w:color="auto"/>
            </w:tcBorders>
            <w:vAlign w:val="bottom"/>
          </w:tcPr>
          <w:p w:rsidR="00671B34" w:rsidRPr="00132DF5" w:rsidRDefault="00671B34" w:rsidP="002E3837">
            <w:pPr>
              <w:rPr>
                <w:rFonts w:cs="Calibri"/>
                <w:b/>
                <w:color w:val="000000"/>
              </w:rPr>
            </w:pPr>
            <w:r w:rsidRPr="00132DF5">
              <w:rPr>
                <w:rFonts w:cs="Calibri"/>
                <w:b/>
                <w:color w:val="000000"/>
              </w:rPr>
              <w:t>Leolvasott gázfogyasztás</w:t>
            </w:r>
            <w:r>
              <w:rPr>
                <w:rFonts w:cs="Calibri"/>
                <w:b/>
                <w:color w:val="000000"/>
              </w:rPr>
              <w:t>*</w:t>
            </w:r>
            <w:r w:rsidRPr="00132DF5">
              <w:rPr>
                <w:rFonts w:cs="Calibri"/>
                <w:b/>
                <w:color w:val="000000"/>
              </w:rPr>
              <w:t>, m</w:t>
            </w:r>
            <w:r w:rsidRPr="00132DF5">
              <w:rPr>
                <w:rFonts w:cs="Calibri"/>
                <w:b/>
                <w:color w:val="000000"/>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71B34" w:rsidRPr="00761BC3" w:rsidRDefault="00671B34" w:rsidP="002E3837">
            <w:pPr>
              <w:suppressAutoHyphens w:val="0"/>
              <w:spacing w:after="0" w:line="240" w:lineRule="auto"/>
              <w:rPr>
                <w:rFonts w:eastAsia="Times New Roman" w:cs="Calibri"/>
                <w:b/>
                <w:bCs/>
                <w:color w:val="000000"/>
                <w:lang w:eastAsia="hu-HU"/>
              </w:rPr>
            </w:pPr>
            <w:r w:rsidRPr="00761BC3">
              <w:rPr>
                <w:rFonts w:eastAsia="Times New Roman" w:cs="Calibri"/>
                <w:b/>
                <w:bCs/>
                <w:color w:val="000000"/>
                <w:lang w:eastAsia="hu-HU"/>
              </w:rPr>
              <w:t>Fogyasztás számlázás szerint</w:t>
            </w:r>
            <w:r>
              <w:rPr>
                <w:rFonts w:eastAsia="Times New Roman" w:cs="Calibri"/>
                <w:b/>
                <w:bCs/>
                <w:color w:val="000000"/>
                <w:lang w:eastAsia="hu-HU"/>
              </w:rPr>
              <w:t>**</w:t>
            </w:r>
            <w:r w:rsidRPr="00761BC3">
              <w:rPr>
                <w:rFonts w:eastAsia="Times New Roman" w:cs="Calibri"/>
                <w:b/>
                <w:bCs/>
                <w:color w:val="000000"/>
                <w:lang w:eastAsia="hu-HU"/>
              </w:rPr>
              <w:t>, m</w:t>
            </w:r>
            <w:r w:rsidRPr="00761BC3">
              <w:rPr>
                <w:rFonts w:eastAsia="Times New Roman" w:cs="Calibri"/>
                <w:b/>
                <w:bCs/>
                <w:color w:val="000000"/>
                <w:vertAlign w:val="superscript"/>
                <w:lang w:eastAsia="hu-HU"/>
              </w:rPr>
              <w:t>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71B34" w:rsidRPr="00761BC3" w:rsidRDefault="00671B34" w:rsidP="002E3837">
            <w:pPr>
              <w:suppressAutoHyphens w:val="0"/>
              <w:spacing w:after="0" w:line="240" w:lineRule="auto"/>
              <w:rPr>
                <w:rFonts w:eastAsia="Times New Roman" w:cs="Calibri"/>
                <w:b/>
                <w:bCs/>
                <w:color w:val="000000"/>
                <w:lang w:eastAsia="hu-HU"/>
              </w:rPr>
            </w:pPr>
            <w:r w:rsidRPr="00761BC3">
              <w:rPr>
                <w:rFonts w:eastAsia="Times New Roman" w:cs="Calibri"/>
                <w:b/>
                <w:bCs/>
                <w:color w:val="000000"/>
                <w:lang w:eastAsia="hu-HU"/>
              </w:rPr>
              <w:t>Számlázott összeg, HUF</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Polgármesteri Hivatal</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5 525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6 190</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986 127</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847390" w:rsidRDefault="00671B34" w:rsidP="002E3837">
            <w:pPr>
              <w:suppressAutoHyphens w:val="0"/>
              <w:spacing w:after="0" w:line="240" w:lineRule="auto"/>
              <w:rPr>
                <w:rFonts w:eastAsia="Times New Roman" w:cs="Calibri"/>
                <w:b/>
                <w:color w:val="000000"/>
                <w:lang w:eastAsia="hu-HU"/>
              </w:rPr>
            </w:pPr>
            <w:r w:rsidRPr="00847390">
              <w:rPr>
                <w:rFonts w:eastAsia="Times New Roman" w:cs="Calibri"/>
                <w:b/>
                <w:color w:val="000000"/>
                <w:lang w:eastAsia="hu-HU"/>
              </w:rPr>
              <w:t xml:space="preserve">Beethoven Ált. Iskola A ép. </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42 002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46 071</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11 398 225</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847390" w:rsidRDefault="00671B34" w:rsidP="002E3837">
            <w:pPr>
              <w:suppressAutoHyphens w:val="0"/>
              <w:spacing w:after="0" w:line="240" w:lineRule="auto"/>
              <w:rPr>
                <w:rFonts w:eastAsia="Times New Roman" w:cs="Calibri"/>
                <w:b/>
                <w:color w:val="000000"/>
                <w:lang w:eastAsia="hu-HU"/>
              </w:rPr>
            </w:pPr>
            <w:r>
              <w:rPr>
                <w:rFonts w:eastAsia="Times New Roman" w:cs="Calibri"/>
                <w:b/>
                <w:color w:val="000000"/>
                <w:lang w:eastAsia="hu-HU"/>
              </w:rPr>
              <w:t>Tóth Iván Sportcsarnok</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12 546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13 762</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3 404 665</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847390" w:rsidRDefault="00671B34" w:rsidP="002E3837">
            <w:pPr>
              <w:suppressAutoHyphens w:val="0"/>
              <w:spacing w:after="0" w:line="240" w:lineRule="auto"/>
              <w:rPr>
                <w:rFonts w:eastAsia="Times New Roman" w:cs="Calibri"/>
                <w:b/>
                <w:color w:val="000000"/>
                <w:lang w:eastAsia="hu-HU"/>
              </w:rPr>
            </w:pPr>
            <w:r w:rsidRPr="00847390">
              <w:rPr>
                <w:rFonts w:eastAsia="Times New Roman" w:cs="Calibri"/>
                <w:b/>
                <w:color w:val="000000"/>
                <w:lang w:eastAsia="hu-HU"/>
              </w:rPr>
              <w:t>Beethoven Ált. Iskola B ép.</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9 335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9 555</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2 084 330</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BBKK</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9 060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10 395</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1 651 840</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Brunszvik Teréz Óvoda</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22 317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25 171</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4 196 024</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Gyermekorvosi rendelő</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8 159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9 561</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1 527 863</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CC383C" w:rsidRDefault="00671B34" w:rsidP="002E3837">
            <w:pPr>
              <w:suppressAutoHyphens w:val="0"/>
              <w:spacing w:after="0" w:line="240" w:lineRule="auto"/>
              <w:rPr>
                <w:rFonts w:eastAsia="Times New Roman" w:cs="Calibri"/>
                <w:color w:val="000000"/>
                <w:lang w:eastAsia="hu-HU"/>
              </w:rPr>
            </w:pPr>
            <w:r w:rsidRPr="00CC383C">
              <w:rPr>
                <w:rFonts w:eastAsia="Times New Roman" w:cs="Calibri"/>
                <w:color w:val="000000"/>
                <w:lang w:eastAsia="hu-HU"/>
              </w:rPr>
              <w:t>Emlékezés tere 3. védőnők</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2 167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2 577</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403 125</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Kistérségi Központ</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6 664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7 627</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1 203 954</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Dózsa György út 13.</w:t>
            </w:r>
            <w:r>
              <w:rPr>
                <w:rFonts w:eastAsia="Times New Roman" w:cs="Calibri"/>
                <w:color w:val="000000"/>
                <w:lang w:eastAsia="hu-HU"/>
              </w:rPr>
              <w:t xml:space="preserve"> ÓMK</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6 292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7 144</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1 135 610</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Művészeti Iskola r</w:t>
            </w:r>
            <w:r>
              <w:rPr>
                <w:rFonts w:eastAsia="Times New Roman" w:cs="Calibri"/>
                <w:color w:val="000000"/>
                <w:lang w:eastAsia="hu-HU"/>
              </w:rPr>
              <w:t>égi</w:t>
            </w:r>
            <w:r w:rsidRPr="00761BC3">
              <w:rPr>
                <w:rFonts w:eastAsia="Times New Roman" w:cs="Calibri"/>
                <w:color w:val="000000"/>
                <w:lang w:eastAsia="hu-HU"/>
              </w:rPr>
              <w:t xml:space="preserve"> Deák Ferenc u. 1.</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16 822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20 030</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3 205 358</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Művészeti Iskola új Deák Ferenc u. 1.</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2 425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2 823</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440 327</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Brunszvik út 1. fsz</w:t>
            </w:r>
            <w:r>
              <w:rPr>
                <w:rFonts w:eastAsia="Times New Roman" w:cs="Calibri"/>
                <w:color w:val="000000"/>
                <w:lang w:eastAsia="hu-HU"/>
              </w:rPr>
              <w:t>.</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2 906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3 455</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544 551</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Pr>
                <w:rFonts w:eastAsia="Times New Roman" w:cs="Calibri"/>
                <w:color w:val="000000"/>
                <w:lang w:eastAsia="hu-HU"/>
              </w:rPr>
              <w:t>Brunszvik út 1. e</w:t>
            </w:r>
            <w:r w:rsidRPr="00761BC3">
              <w:rPr>
                <w:rFonts w:eastAsia="Times New Roman" w:cs="Calibri"/>
                <w:color w:val="000000"/>
                <w:lang w:eastAsia="hu-HU"/>
              </w:rPr>
              <w:t>melet</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1 091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1 246</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191 062</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Pr>
                <w:rFonts w:eastAsia="Times New Roman" w:cs="Calibri"/>
                <w:color w:val="000000"/>
                <w:lang w:eastAsia="hu-HU"/>
              </w:rPr>
              <w:t xml:space="preserve">Horváth Ottó </w:t>
            </w:r>
            <w:r w:rsidRPr="00761BC3">
              <w:rPr>
                <w:rFonts w:eastAsia="Times New Roman" w:cs="Calibri"/>
                <w:color w:val="000000"/>
                <w:lang w:eastAsia="hu-HU"/>
              </w:rPr>
              <w:t>Sport</w:t>
            </w:r>
            <w:r>
              <w:rPr>
                <w:rFonts w:eastAsia="Times New Roman" w:cs="Calibri"/>
                <w:color w:val="000000"/>
                <w:lang w:eastAsia="hu-HU"/>
              </w:rPr>
              <w:t>központ</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5 293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6 157</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881 975</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 </w:t>
            </w:r>
          </w:p>
        </w:tc>
        <w:tc>
          <w:tcPr>
            <w:tcW w:w="0" w:type="auto"/>
            <w:tcBorders>
              <w:top w:val="single" w:sz="4" w:space="0" w:color="auto"/>
              <w:left w:val="nil"/>
              <w:bottom w:val="single" w:sz="4" w:space="0" w:color="auto"/>
              <w:right w:val="single" w:sz="4" w:space="0" w:color="auto"/>
            </w:tcBorders>
          </w:tcPr>
          <w:p w:rsidR="00671B34" w:rsidRDefault="00671B34" w:rsidP="002E3837">
            <w:pPr>
              <w:rPr>
                <w:rFonts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rPr>
                <w:rFonts w:cs="Calibri"/>
                <w:color w:val="000000"/>
              </w:rPr>
            </w:pPr>
            <w:r>
              <w:rPr>
                <w:rFonts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rPr>
                <w:rFonts w:cs="Calibri"/>
                <w:color w:val="000000"/>
              </w:rPr>
            </w:pPr>
            <w:r>
              <w:rPr>
                <w:rFonts w:cs="Calibri"/>
                <w:color w:val="000000"/>
              </w:rPr>
              <w:t> </w:t>
            </w:r>
          </w:p>
        </w:tc>
      </w:tr>
      <w:tr w:rsidR="00671B34" w:rsidRPr="00761BC3" w:rsidTr="002E3837">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Pr="00761BC3" w:rsidRDefault="00671B34" w:rsidP="002E3837">
            <w:pPr>
              <w:suppressAutoHyphens w:val="0"/>
              <w:spacing w:after="0" w:line="240" w:lineRule="auto"/>
              <w:rPr>
                <w:rFonts w:eastAsia="Times New Roman" w:cs="Calibri"/>
                <w:color w:val="000000"/>
                <w:lang w:eastAsia="hu-HU"/>
              </w:rPr>
            </w:pPr>
            <w:r w:rsidRPr="00761BC3">
              <w:rPr>
                <w:rFonts w:eastAsia="Times New Roman" w:cs="Calibri"/>
                <w:color w:val="000000"/>
                <w:lang w:eastAsia="hu-HU"/>
              </w:rPr>
              <w:t>Összesen</w:t>
            </w:r>
          </w:p>
        </w:tc>
        <w:tc>
          <w:tcPr>
            <w:tcW w:w="0" w:type="auto"/>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152 604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171 764</w:t>
            </w:r>
          </w:p>
        </w:tc>
        <w:tc>
          <w:tcPr>
            <w:tcW w:w="0" w:type="auto"/>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33 255 036</w:t>
            </w:r>
          </w:p>
        </w:tc>
      </w:tr>
    </w:tbl>
    <w:p w:rsidR="00671B34" w:rsidRDefault="00671B34" w:rsidP="00671B34">
      <w:pPr>
        <w:pStyle w:val="Listaszerbekezds"/>
        <w:ind w:left="709"/>
        <w:rPr>
          <w:rFonts w:ascii="Arial Narrow" w:hAnsi="Arial Narrow"/>
          <w:b w:val="0"/>
        </w:rPr>
      </w:pPr>
      <w:r>
        <w:rPr>
          <w:rFonts w:ascii="Arial Narrow" w:hAnsi="Arial Narrow"/>
          <w:b w:val="0"/>
        </w:rPr>
        <w:t>*korrekció nélkül</w:t>
      </w:r>
    </w:p>
    <w:p w:rsidR="00671B34" w:rsidRDefault="00671B34" w:rsidP="00671B34">
      <w:pPr>
        <w:pStyle w:val="Listaszerbekezds"/>
        <w:jc w:val="both"/>
        <w:rPr>
          <w:rFonts w:ascii="Arial Narrow" w:hAnsi="Arial Narrow"/>
          <w:b w:val="0"/>
        </w:rPr>
      </w:pPr>
      <w:r>
        <w:rPr>
          <w:rFonts w:ascii="Arial Narrow" w:hAnsi="Arial Narrow"/>
          <w:b w:val="0"/>
        </w:rPr>
        <w:t>**A leolvasott értéket a technikai (mérő típus) és az időjárási (hőmérséklet, nyomás) körülmények szerint havonta korrigálják, felfelé</w:t>
      </w:r>
    </w:p>
    <w:p w:rsidR="00671B34" w:rsidRPr="00BC1BAA" w:rsidRDefault="00671B34" w:rsidP="00671B34">
      <w:pPr>
        <w:pStyle w:val="Listaszerbekezds"/>
        <w:rPr>
          <w:rFonts w:ascii="Arial Narrow" w:hAnsi="Arial Narrow"/>
          <w:b w:val="0"/>
        </w:rPr>
      </w:pPr>
    </w:p>
    <w:p w:rsidR="00671B34" w:rsidRDefault="00671B34" w:rsidP="00671B34">
      <w:pPr>
        <w:pStyle w:val="Listaszerbekezds"/>
        <w:ind w:left="0"/>
        <w:jc w:val="both"/>
        <w:rPr>
          <w:rFonts w:ascii="Arial Narrow" w:hAnsi="Arial Narrow"/>
          <w:b w:val="0"/>
        </w:rPr>
      </w:pPr>
      <w:r>
        <w:rPr>
          <w:rFonts w:ascii="Arial Narrow" w:hAnsi="Arial Narrow"/>
          <w:b w:val="0"/>
        </w:rPr>
        <w:t xml:space="preserve"> Az év során a FŐGÁZ-tól az NKM Földgázszolgáltató vette át a legtöbb fogyasztási helyünket. Az általános iskola és a sportcsarnok maradt az E.ON-nál. Az NKM Földgázszolgáltató rendszere sajnos nagyon lassú, információt telefonon nem adnak, számlát előre nem küldenek meg elektronikusan. Ennek eredménye, hogy a december második felének fogyasztását mutató számlák nem érkeztek meg, csak becsült értékeink vannak. A vastaggal szedett fogyasztási helyeken az utolsó számla is megérkezett. A legnagyobb fogyasztást az általános iskola produkálta, melynek fűtési rendszere a</w:t>
      </w:r>
      <w:r w:rsidRPr="00F74C6F">
        <w:rPr>
          <w:rFonts w:ascii="Arial Narrow" w:hAnsi="Arial Narrow"/>
          <w:b w:val="0"/>
        </w:rPr>
        <w:t xml:space="preserve"> több, kisebb és korszerűbb kazánnal</w:t>
      </w:r>
      <w:r>
        <w:rPr>
          <w:rFonts w:ascii="Arial Narrow" w:hAnsi="Arial Narrow"/>
          <w:b w:val="0"/>
        </w:rPr>
        <w:t xml:space="preserve"> gazdaságosabb</w:t>
      </w:r>
      <w:r w:rsidRPr="00F74C6F">
        <w:rPr>
          <w:rFonts w:ascii="Arial Narrow" w:hAnsi="Arial Narrow"/>
          <w:b w:val="0"/>
        </w:rPr>
        <w:t xml:space="preserve">, </w:t>
      </w:r>
      <w:r>
        <w:rPr>
          <w:rFonts w:ascii="Arial Narrow" w:hAnsi="Arial Narrow"/>
          <w:b w:val="0"/>
        </w:rPr>
        <w:t>de a teljes hőszigetelés még mindig hiányzik. A művészeti iskolában a felújítás után is három kazán szolgálja ki a rosszul szigetelt épületet. A nagyobb épületeknél (pl. BBKK) az év eleji tartós fagy miatti fűtéstöbblet látható a számokban. Több fogyasztási helyen az éves leolvasást követően helyesbítették a számlák korábban jellemzően alábecsült értékeit.</w:t>
      </w:r>
    </w:p>
    <w:p w:rsidR="00671B34" w:rsidRPr="00BC1BAA" w:rsidRDefault="00671B34" w:rsidP="00671B34">
      <w:pPr>
        <w:pStyle w:val="Listaszerbekezds"/>
        <w:rPr>
          <w:rFonts w:ascii="Arial Narrow" w:hAnsi="Arial Narrow"/>
          <w:b w:val="0"/>
        </w:rPr>
      </w:pPr>
    </w:p>
    <w:p w:rsidR="00671B34" w:rsidRDefault="00671B34" w:rsidP="00671B34">
      <w:pPr>
        <w:suppressAutoHyphens w:val="0"/>
        <w:spacing w:after="0" w:line="240" w:lineRule="auto"/>
        <w:rPr>
          <w:rFonts w:ascii="Arial Narrow" w:hAnsi="Arial Narrow"/>
        </w:rPr>
        <w:sectPr w:rsidR="00671B34" w:rsidSect="00782BBC">
          <w:pgSz w:w="11906" w:h="16838"/>
          <w:pgMar w:top="993" w:right="991" w:bottom="1134" w:left="1134" w:header="708" w:footer="708" w:gutter="0"/>
          <w:cols w:space="708"/>
          <w:docGrid w:linePitch="360"/>
        </w:sectPr>
      </w:pPr>
    </w:p>
    <w:p w:rsidR="00671B34" w:rsidRDefault="00671B34" w:rsidP="00671B34">
      <w:pPr>
        <w:suppressAutoHyphens w:val="0"/>
        <w:spacing w:after="0" w:line="240" w:lineRule="auto"/>
        <w:rPr>
          <w:rFonts w:ascii="Arial Narrow" w:hAnsi="Arial Narrow"/>
        </w:rPr>
      </w:pPr>
      <w:r>
        <w:rPr>
          <w:rFonts w:ascii="Arial Narrow" w:hAnsi="Arial Narrow"/>
          <w:noProof/>
          <w:lang w:eastAsia="hu-HU"/>
        </w:rPr>
        <w:lastRenderedPageBreak/>
        <w:drawing>
          <wp:inline distT="0" distB="0" distL="0" distR="0" wp14:anchorId="526208E1" wp14:editId="15FB8E2F">
            <wp:extent cx="9269623" cy="4639112"/>
            <wp:effectExtent l="19050" t="0" r="7727" b="0"/>
            <wp:docPr id="1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9272905" cy="4640755"/>
                    </a:xfrm>
                    <a:prstGeom prst="rect">
                      <a:avLst/>
                    </a:prstGeom>
                    <a:noFill/>
                  </pic:spPr>
                </pic:pic>
              </a:graphicData>
            </a:graphic>
          </wp:inline>
        </w:drawing>
      </w:r>
    </w:p>
    <w:p w:rsidR="00671B34" w:rsidRDefault="00671B34" w:rsidP="00671B34">
      <w:pPr>
        <w:suppressAutoHyphens w:val="0"/>
        <w:spacing w:after="0" w:line="240" w:lineRule="auto"/>
        <w:rPr>
          <w:rFonts w:ascii="Arial Narrow" w:hAnsi="Arial Narrow"/>
        </w:rPr>
      </w:pPr>
    </w:p>
    <w:p w:rsidR="00671B34" w:rsidRDefault="00671B34" w:rsidP="00671B34">
      <w:pPr>
        <w:suppressAutoHyphens w:val="0"/>
        <w:spacing w:after="0" w:line="240" w:lineRule="auto"/>
        <w:rPr>
          <w:rFonts w:ascii="Arial Narrow" w:hAnsi="Arial Narrow"/>
        </w:rPr>
      </w:pPr>
    </w:p>
    <w:p w:rsidR="00671B34" w:rsidRDefault="00671B34" w:rsidP="00671B34">
      <w:pPr>
        <w:suppressAutoHyphens w:val="0"/>
        <w:spacing w:after="0" w:line="240" w:lineRule="auto"/>
        <w:rPr>
          <w:rFonts w:ascii="Arial Narrow" w:hAnsi="Arial Narrow"/>
        </w:rPr>
      </w:pPr>
      <w:r>
        <w:rPr>
          <w:rFonts w:ascii="Arial Narrow" w:hAnsi="Arial Narrow"/>
          <w:noProof/>
          <w:lang w:eastAsia="hu-HU"/>
        </w:rPr>
        <w:lastRenderedPageBreak/>
        <w:drawing>
          <wp:inline distT="0" distB="0" distL="0" distR="0" wp14:anchorId="6E8A70DF" wp14:editId="50190602">
            <wp:extent cx="9099783" cy="4714613"/>
            <wp:effectExtent l="19050" t="0" r="6117" b="0"/>
            <wp:docPr id="39"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9107642" cy="4718685"/>
                    </a:xfrm>
                    <a:prstGeom prst="rect">
                      <a:avLst/>
                    </a:prstGeom>
                    <a:noFill/>
                  </pic:spPr>
                </pic:pic>
              </a:graphicData>
            </a:graphic>
          </wp:inline>
        </w:drawing>
      </w:r>
    </w:p>
    <w:p w:rsidR="00671B34" w:rsidRDefault="00671B34" w:rsidP="00671B34">
      <w:pPr>
        <w:suppressAutoHyphens w:val="0"/>
        <w:spacing w:after="0" w:line="240" w:lineRule="auto"/>
        <w:rPr>
          <w:rFonts w:ascii="Arial Narrow" w:hAnsi="Arial Narrow"/>
        </w:rPr>
      </w:pPr>
    </w:p>
    <w:p w:rsidR="00671B34" w:rsidRDefault="00671B34" w:rsidP="00671B34">
      <w:pPr>
        <w:suppressAutoHyphens w:val="0"/>
        <w:spacing w:after="0" w:line="240" w:lineRule="auto"/>
        <w:rPr>
          <w:rFonts w:ascii="Arial Narrow" w:hAnsi="Arial Narrow"/>
        </w:rPr>
        <w:sectPr w:rsidR="00671B34" w:rsidSect="00550FA8">
          <w:pgSz w:w="16838" w:h="11906" w:orient="landscape"/>
          <w:pgMar w:top="1134" w:right="993" w:bottom="991" w:left="1134" w:header="708" w:footer="708" w:gutter="0"/>
          <w:cols w:space="708"/>
          <w:docGrid w:linePitch="360"/>
        </w:sectPr>
      </w:pPr>
    </w:p>
    <w:p w:rsidR="00671B34" w:rsidRPr="00BC1BAA" w:rsidRDefault="00671B34" w:rsidP="00671B34">
      <w:pPr>
        <w:suppressAutoHyphens w:val="0"/>
        <w:spacing w:after="0" w:line="240" w:lineRule="auto"/>
        <w:rPr>
          <w:rFonts w:ascii="Arial Narrow" w:hAnsi="Arial Narrow"/>
        </w:rPr>
      </w:pPr>
    </w:p>
    <w:p w:rsidR="00671B34" w:rsidRPr="00BC1BAA" w:rsidRDefault="00671B34" w:rsidP="00671B34">
      <w:pPr>
        <w:jc w:val="both"/>
        <w:rPr>
          <w:rFonts w:ascii="Arial Narrow" w:hAnsi="Arial Narrow"/>
        </w:rPr>
      </w:pPr>
    </w:p>
    <w:p w:rsidR="00671B34" w:rsidRPr="00BC1BAA" w:rsidRDefault="00671B34" w:rsidP="00671B34">
      <w:pPr>
        <w:pStyle w:val="Listaszerbekezds"/>
        <w:numPr>
          <w:ilvl w:val="0"/>
          <w:numId w:val="1"/>
        </w:numPr>
        <w:jc w:val="both"/>
        <w:rPr>
          <w:rFonts w:ascii="Arial Narrow" w:hAnsi="Arial Narrow"/>
        </w:rPr>
      </w:pPr>
      <w:r w:rsidRPr="00BC1BAA">
        <w:rPr>
          <w:rFonts w:ascii="Arial Narrow" w:hAnsi="Arial Narrow"/>
        </w:rPr>
        <w:t>Vízfogyasztás és csatornadíj</w:t>
      </w:r>
    </w:p>
    <w:p w:rsidR="00671B34" w:rsidRPr="00044AA2" w:rsidRDefault="00671B34" w:rsidP="00671B34">
      <w:pPr>
        <w:jc w:val="both"/>
        <w:rPr>
          <w:rFonts w:ascii="Arial Narrow" w:hAnsi="Arial Narrow"/>
        </w:rPr>
      </w:pPr>
    </w:p>
    <w:tbl>
      <w:tblPr>
        <w:tblW w:w="9007" w:type="dxa"/>
        <w:tblCellMar>
          <w:left w:w="70" w:type="dxa"/>
          <w:right w:w="70" w:type="dxa"/>
        </w:tblCellMar>
        <w:tblLook w:val="04A0" w:firstRow="1" w:lastRow="0" w:firstColumn="1" w:lastColumn="0" w:noHBand="0" w:noVBand="1"/>
      </w:tblPr>
      <w:tblGrid>
        <w:gridCol w:w="3300"/>
        <w:gridCol w:w="1313"/>
        <w:gridCol w:w="1560"/>
        <w:gridCol w:w="1417"/>
        <w:gridCol w:w="1417"/>
      </w:tblGrid>
      <w:tr w:rsidR="00671B34" w:rsidRPr="008D1AD8" w:rsidTr="002E3837">
        <w:trPr>
          <w:trHeight w:val="945"/>
        </w:trPr>
        <w:tc>
          <w:tcPr>
            <w:tcW w:w="3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1B34" w:rsidRPr="008D1AD8" w:rsidRDefault="00671B34" w:rsidP="002E3837">
            <w:pPr>
              <w:suppressAutoHyphens w:val="0"/>
              <w:spacing w:after="0" w:line="240" w:lineRule="auto"/>
              <w:rPr>
                <w:rFonts w:eastAsia="Times New Roman" w:cs="Calibri"/>
                <w:b/>
                <w:bCs/>
                <w:color w:val="000000"/>
                <w:lang w:eastAsia="hu-HU"/>
              </w:rPr>
            </w:pPr>
            <w:r>
              <w:rPr>
                <w:rFonts w:eastAsia="Times New Roman" w:cs="Calibri"/>
                <w:b/>
                <w:bCs/>
                <w:color w:val="000000"/>
                <w:lang w:eastAsia="hu-HU"/>
              </w:rPr>
              <w:t>Számlázott v</w:t>
            </w:r>
            <w:r w:rsidRPr="008D1AD8">
              <w:rPr>
                <w:rFonts w:eastAsia="Times New Roman" w:cs="Calibri"/>
                <w:b/>
                <w:bCs/>
                <w:color w:val="000000"/>
                <w:lang w:eastAsia="hu-HU"/>
              </w:rPr>
              <w:t xml:space="preserve">íz és csatorna                                          </w:t>
            </w:r>
            <w:r>
              <w:rPr>
                <w:rFonts w:eastAsia="Times New Roman" w:cs="Calibri"/>
                <w:b/>
                <w:bCs/>
                <w:color w:val="000000"/>
                <w:lang w:eastAsia="hu-HU"/>
              </w:rPr>
              <w:t>f</w:t>
            </w:r>
            <w:r w:rsidRPr="008D1AD8">
              <w:rPr>
                <w:rFonts w:eastAsia="Times New Roman" w:cs="Calibri"/>
                <w:b/>
                <w:bCs/>
                <w:color w:val="000000"/>
                <w:lang w:eastAsia="hu-HU"/>
              </w:rPr>
              <w:t>elhasználási hely 201</w:t>
            </w:r>
            <w:r>
              <w:rPr>
                <w:rFonts w:eastAsia="Times New Roman" w:cs="Calibri"/>
                <w:b/>
                <w:bCs/>
                <w:color w:val="000000"/>
                <w:lang w:eastAsia="hu-HU"/>
              </w:rPr>
              <w:t>7</w:t>
            </w:r>
          </w:p>
        </w:tc>
        <w:tc>
          <w:tcPr>
            <w:tcW w:w="1313" w:type="dxa"/>
            <w:tcBorders>
              <w:top w:val="single" w:sz="4" w:space="0" w:color="auto"/>
              <w:left w:val="nil"/>
              <w:bottom w:val="single" w:sz="4" w:space="0" w:color="auto"/>
              <w:right w:val="single" w:sz="4" w:space="0" w:color="auto"/>
            </w:tcBorders>
          </w:tcPr>
          <w:p w:rsidR="00671B34" w:rsidRPr="008D1AD8" w:rsidRDefault="00671B34" w:rsidP="002E3837">
            <w:pPr>
              <w:suppressAutoHyphens w:val="0"/>
              <w:spacing w:after="0" w:line="240" w:lineRule="auto"/>
              <w:rPr>
                <w:rFonts w:eastAsia="Times New Roman" w:cs="Calibri"/>
                <w:b/>
                <w:bCs/>
                <w:color w:val="000000"/>
                <w:lang w:eastAsia="hu-HU"/>
              </w:rPr>
            </w:pPr>
            <w:r>
              <w:rPr>
                <w:rFonts w:eastAsia="Times New Roman" w:cs="Calibri"/>
                <w:b/>
                <w:bCs/>
                <w:color w:val="000000"/>
                <w:lang w:eastAsia="hu-HU"/>
              </w:rPr>
              <w:t>Leolvasott fogyasztás, m</w:t>
            </w:r>
            <w:r w:rsidRPr="00132DF5">
              <w:rPr>
                <w:rFonts w:eastAsia="Times New Roman" w:cs="Calibri"/>
                <w:b/>
                <w:bCs/>
                <w:color w:val="000000"/>
                <w:vertAlign w:val="superscript"/>
                <w:lang w:eastAsia="hu-HU"/>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1B34" w:rsidRPr="008D1AD8" w:rsidRDefault="00671B34" w:rsidP="002E3837">
            <w:pPr>
              <w:suppressAutoHyphens w:val="0"/>
              <w:spacing w:after="0" w:line="240" w:lineRule="auto"/>
              <w:rPr>
                <w:rFonts w:eastAsia="Times New Roman" w:cs="Calibri"/>
                <w:b/>
                <w:bCs/>
                <w:color w:val="000000"/>
                <w:lang w:eastAsia="hu-HU"/>
              </w:rPr>
            </w:pPr>
            <w:r w:rsidRPr="008D1AD8">
              <w:rPr>
                <w:rFonts w:eastAsia="Times New Roman" w:cs="Calibri"/>
                <w:b/>
                <w:bCs/>
                <w:color w:val="000000"/>
                <w:lang w:eastAsia="hu-HU"/>
              </w:rPr>
              <w:t>Fogyasztás számlázás szerint, m</w:t>
            </w:r>
            <w:r w:rsidRPr="008D1AD8">
              <w:rPr>
                <w:rFonts w:eastAsia="Times New Roman" w:cs="Calibri"/>
                <w:b/>
                <w:bCs/>
                <w:color w:val="000000"/>
                <w:vertAlign w:val="superscript"/>
                <w:lang w:eastAsia="hu-HU"/>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71B34" w:rsidRPr="008D1AD8" w:rsidRDefault="00671B34" w:rsidP="002E3837">
            <w:pPr>
              <w:suppressAutoHyphens w:val="0"/>
              <w:spacing w:after="0" w:line="240" w:lineRule="auto"/>
              <w:rPr>
                <w:rFonts w:eastAsia="Times New Roman" w:cs="Calibri"/>
                <w:b/>
                <w:bCs/>
                <w:color w:val="000000"/>
                <w:lang w:eastAsia="hu-HU"/>
              </w:rPr>
            </w:pPr>
            <w:r w:rsidRPr="008D1AD8">
              <w:rPr>
                <w:rFonts w:eastAsia="Times New Roman" w:cs="Calibri"/>
                <w:b/>
                <w:bCs/>
                <w:color w:val="000000"/>
                <w:lang w:eastAsia="hu-HU"/>
              </w:rPr>
              <w:t>Számlázott összeg, HUF</w:t>
            </w:r>
          </w:p>
        </w:tc>
        <w:tc>
          <w:tcPr>
            <w:tcW w:w="1417" w:type="dxa"/>
            <w:tcBorders>
              <w:top w:val="single" w:sz="4" w:space="0" w:color="auto"/>
              <w:left w:val="nil"/>
              <w:bottom w:val="single" w:sz="4" w:space="0" w:color="auto"/>
              <w:right w:val="single" w:sz="4" w:space="0" w:color="auto"/>
            </w:tcBorders>
          </w:tcPr>
          <w:p w:rsidR="00671B34" w:rsidRPr="008D1AD8" w:rsidRDefault="00671B34" w:rsidP="002E3837">
            <w:pPr>
              <w:suppressAutoHyphens w:val="0"/>
              <w:spacing w:after="0" w:line="240" w:lineRule="auto"/>
              <w:rPr>
                <w:rFonts w:eastAsia="Times New Roman" w:cs="Calibri"/>
                <w:b/>
                <w:bCs/>
                <w:color w:val="000000"/>
                <w:lang w:eastAsia="hu-HU"/>
              </w:rPr>
            </w:pPr>
            <w:r>
              <w:rPr>
                <w:rFonts w:eastAsia="Times New Roman" w:cs="Calibri"/>
                <w:b/>
                <w:bCs/>
                <w:color w:val="000000"/>
                <w:lang w:eastAsia="hu-HU"/>
              </w:rPr>
              <w:t>Ebből csatornadíj, HUF</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 xml:space="preserve">Beethoven Ált. Isk. </w:t>
            </w:r>
            <w:r>
              <w:rPr>
                <w:rFonts w:eastAsia="Times New Roman" w:cs="Calibri"/>
                <w:color w:val="000000"/>
                <w:lang w:eastAsia="hu-HU"/>
              </w:rPr>
              <w:t>A. épület</w:t>
            </w:r>
          </w:p>
        </w:tc>
        <w:tc>
          <w:tcPr>
            <w:tcW w:w="1313" w:type="dxa"/>
            <w:tcBorders>
              <w:top w:val="single" w:sz="4" w:space="0" w:color="auto"/>
              <w:left w:val="nil"/>
              <w:bottom w:val="single" w:sz="4" w:space="0" w:color="auto"/>
              <w:right w:val="single" w:sz="4" w:space="0" w:color="auto"/>
            </w:tcBorders>
            <w:vAlign w:val="bottom"/>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1 570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1 570</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1 411 082</w:t>
            </w:r>
          </w:p>
        </w:tc>
        <w:tc>
          <w:tcPr>
            <w:tcW w:w="1417" w:type="dxa"/>
            <w:tcBorders>
              <w:top w:val="nil"/>
              <w:left w:val="nil"/>
              <w:bottom w:val="single" w:sz="4" w:space="0" w:color="auto"/>
              <w:right w:val="single" w:sz="4" w:space="0" w:color="auto"/>
            </w:tcBorders>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1 170 432</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Pr>
                <w:rFonts w:eastAsia="Times New Roman" w:cs="Calibri"/>
                <w:color w:val="000000"/>
                <w:lang w:eastAsia="hu-HU"/>
              </w:rPr>
              <w:t>Tóth Iván Sportcsarnok</w:t>
            </w:r>
          </w:p>
        </w:tc>
        <w:tc>
          <w:tcPr>
            <w:tcW w:w="1313" w:type="dxa"/>
            <w:tcBorders>
              <w:top w:val="single" w:sz="4" w:space="0" w:color="auto"/>
              <w:left w:val="nil"/>
              <w:bottom w:val="single" w:sz="4" w:space="0" w:color="auto"/>
              <w:right w:val="single" w:sz="4" w:space="0" w:color="auto"/>
            </w:tcBorders>
            <w:vAlign w:val="bottom"/>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393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393</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352 771</w:t>
            </w:r>
          </w:p>
        </w:tc>
        <w:tc>
          <w:tcPr>
            <w:tcW w:w="1417" w:type="dxa"/>
            <w:tcBorders>
              <w:top w:val="nil"/>
              <w:left w:val="nil"/>
              <w:bottom w:val="single" w:sz="4" w:space="0" w:color="auto"/>
              <w:right w:val="single" w:sz="4" w:space="0" w:color="auto"/>
            </w:tcBorders>
          </w:tcPr>
          <w:p w:rsidR="00671B34"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292 608</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Beethoven Ált.</w:t>
            </w:r>
            <w:r>
              <w:rPr>
                <w:rFonts w:eastAsia="Times New Roman" w:cs="Calibri"/>
                <w:color w:val="000000"/>
                <w:lang w:eastAsia="hu-HU"/>
              </w:rPr>
              <w:t xml:space="preserve"> </w:t>
            </w:r>
            <w:r w:rsidRPr="008D1AD8">
              <w:rPr>
                <w:rFonts w:eastAsia="Times New Roman" w:cs="Calibri"/>
                <w:color w:val="000000"/>
                <w:lang w:eastAsia="hu-HU"/>
              </w:rPr>
              <w:t>Iskola B. épület</w:t>
            </w:r>
          </w:p>
        </w:tc>
        <w:tc>
          <w:tcPr>
            <w:tcW w:w="1313" w:type="dxa"/>
            <w:tcBorders>
              <w:top w:val="single" w:sz="4" w:space="0" w:color="auto"/>
              <w:left w:val="nil"/>
              <w:bottom w:val="single" w:sz="4" w:space="0" w:color="auto"/>
              <w:right w:val="single" w:sz="4" w:space="0" w:color="auto"/>
            </w:tcBorders>
            <w:vAlign w:val="bottom"/>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70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70</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69 875</w:t>
            </w:r>
          </w:p>
        </w:tc>
        <w:tc>
          <w:tcPr>
            <w:tcW w:w="1417" w:type="dxa"/>
            <w:tcBorders>
              <w:top w:val="nil"/>
              <w:left w:val="nil"/>
              <w:bottom w:val="single" w:sz="4" w:space="0" w:color="auto"/>
              <w:right w:val="single" w:sz="4" w:space="0" w:color="auto"/>
            </w:tcBorders>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40 005</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Szent László u. 2. (</w:t>
            </w:r>
            <w:r>
              <w:rPr>
                <w:rFonts w:eastAsia="Times New Roman" w:cs="Calibri"/>
                <w:color w:val="000000"/>
                <w:lang w:eastAsia="hu-HU"/>
              </w:rPr>
              <w:t xml:space="preserve">volt </w:t>
            </w:r>
            <w:r w:rsidRPr="008D1AD8">
              <w:rPr>
                <w:rFonts w:eastAsia="Times New Roman" w:cs="Calibri"/>
                <w:color w:val="000000"/>
                <w:lang w:eastAsia="hu-HU"/>
              </w:rPr>
              <w:t>védőnői)</w:t>
            </w:r>
          </w:p>
        </w:tc>
        <w:tc>
          <w:tcPr>
            <w:tcW w:w="1313" w:type="dxa"/>
            <w:tcBorders>
              <w:top w:val="single" w:sz="4" w:space="0" w:color="auto"/>
              <w:left w:val="nil"/>
              <w:bottom w:val="single" w:sz="4" w:space="0" w:color="auto"/>
              <w:right w:val="single" w:sz="4" w:space="0" w:color="auto"/>
            </w:tcBorders>
            <w:vAlign w:val="bottom"/>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373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373</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205 459</w:t>
            </w:r>
          </w:p>
        </w:tc>
        <w:tc>
          <w:tcPr>
            <w:tcW w:w="1417" w:type="dxa"/>
            <w:tcBorders>
              <w:top w:val="nil"/>
              <w:left w:val="nil"/>
              <w:bottom w:val="single" w:sz="4" w:space="0" w:color="auto"/>
              <w:right w:val="single" w:sz="4" w:space="0" w:color="auto"/>
            </w:tcBorders>
          </w:tcPr>
          <w:p w:rsidR="00671B34" w:rsidRPr="002D7CB4" w:rsidRDefault="00671B34" w:rsidP="002E3837">
            <w:pPr>
              <w:suppressAutoHyphens w:val="0"/>
              <w:spacing w:after="0" w:line="240" w:lineRule="auto"/>
              <w:jc w:val="right"/>
              <w:rPr>
                <w:rFonts w:eastAsia="Times New Roman" w:cs="Calibri"/>
                <w:b/>
                <w:color w:val="000000"/>
                <w:lang w:eastAsia="hu-HU"/>
              </w:rPr>
            </w:pPr>
            <w:r>
              <w:rPr>
                <w:rFonts w:eastAsia="Times New Roman" w:cs="Calibri"/>
                <w:b/>
                <w:color w:val="000000"/>
                <w:lang w:eastAsia="hu-HU"/>
              </w:rPr>
              <w:t>117 629</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Óvoda Deák Ferenc u. 3.</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1 421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1 421</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1 411 041</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812 102</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Malom Deák Ferenc u. 1.</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231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231</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230 588</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132 017</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Sporttelep u. 17.</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681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681</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626 067</w:t>
            </w:r>
          </w:p>
        </w:tc>
        <w:tc>
          <w:tcPr>
            <w:tcW w:w="1417" w:type="dxa"/>
            <w:tcBorders>
              <w:top w:val="nil"/>
              <w:left w:val="nil"/>
              <w:bottom w:val="single" w:sz="4" w:space="0" w:color="auto"/>
              <w:right w:val="single" w:sz="4" w:space="0" w:color="auto"/>
            </w:tcBorders>
          </w:tcPr>
          <w:p w:rsidR="00671B34" w:rsidRPr="002D7CB4" w:rsidRDefault="00671B34" w:rsidP="002E3837">
            <w:pPr>
              <w:jc w:val="right"/>
              <w:rPr>
                <w:rFonts w:cs="Calibri"/>
                <w:b/>
                <w:color w:val="000000"/>
              </w:rPr>
            </w:pPr>
            <w:r>
              <w:rPr>
                <w:rFonts w:cs="Calibri"/>
                <w:b/>
                <w:color w:val="000000"/>
              </w:rPr>
              <w:t>389 192</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Sporttelep u. 274/2.</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14</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5 974</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0</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Könyvtár Dózsa Gy. út 13.</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175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175</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168 402</w:t>
            </w:r>
          </w:p>
        </w:tc>
        <w:tc>
          <w:tcPr>
            <w:tcW w:w="1417" w:type="dxa"/>
            <w:tcBorders>
              <w:top w:val="nil"/>
              <w:left w:val="nil"/>
              <w:bottom w:val="single" w:sz="4" w:space="0" w:color="auto"/>
              <w:right w:val="single" w:sz="4" w:space="0" w:color="auto"/>
            </w:tcBorders>
          </w:tcPr>
          <w:p w:rsidR="00671B34" w:rsidRPr="002D7CB4" w:rsidRDefault="00671B34" w:rsidP="002E3837">
            <w:pPr>
              <w:jc w:val="right"/>
              <w:rPr>
                <w:rFonts w:cs="Calibri"/>
                <w:b/>
                <w:color w:val="000000"/>
              </w:rPr>
            </w:pPr>
            <w:r>
              <w:rPr>
                <w:rFonts w:cs="Calibri"/>
                <w:b/>
                <w:color w:val="000000"/>
              </w:rPr>
              <w:t>100 013</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Gyermekorvos Budai út 27.</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311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311</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310 447</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177 737</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Polgármesteri Hivatal Budai út 13.</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256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256</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255 546</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146 304</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Pr>
                <w:rFonts w:eastAsia="Times New Roman" w:cs="Calibri"/>
                <w:color w:val="000000"/>
                <w:lang w:eastAsia="hu-HU"/>
              </w:rPr>
              <w:t>Közkifolyók</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288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288</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74064</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0</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Dózsa Gy. út 6. Tsz udvar</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195</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83 211</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0</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Emlékezés tere 3. (Jácint ház)</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19</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19 961</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10 859</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Emlékezés tere 2. BBKK</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1 235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1 235</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1 204 227</w:t>
            </w:r>
          </w:p>
        </w:tc>
        <w:tc>
          <w:tcPr>
            <w:tcW w:w="1417" w:type="dxa"/>
            <w:tcBorders>
              <w:top w:val="nil"/>
              <w:left w:val="nil"/>
              <w:bottom w:val="single" w:sz="4" w:space="0" w:color="auto"/>
              <w:right w:val="single" w:sz="4" w:space="0" w:color="auto"/>
            </w:tcBorders>
          </w:tcPr>
          <w:p w:rsidR="00671B34" w:rsidRPr="002D7CB4" w:rsidRDefault="00671B34" w:rsidP="002E3837">
            <w:pPr>
              <w:jc w:val="right"/>
              <w:rPr>
                <w:rFonts w:cs="Calibri"/>
                <w:b/>
                <w:color w:val="000000"/>
              </w:rPr>
            </w:pPr>
            <w:r>
              <w:rPr>
                <w:rFonts w:cs="Calibri"/>
                <w:b/>
                <w:color w:val="000000"/>
              </w:rPr>
              <w:t>705 803</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Orvosi rendelő Brunszvik út 1.</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78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78</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35 935</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44 577</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Orvosi lakás Brunszvik út 1.</w:t>
            </w:r>
            <w:r>
              <w:rPr>
                <w:rFonts w:eastAsia="Times New Roman" w:cs="Calibri"/>
                <w:color w:val="000000"/>
                <w:lang w:eastAsia="hu-HU"/>
              </w:rPr>
              <w:t>*</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53</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37 134</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27 261</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Vasút utca 172/1 (Locsoló)</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6</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2 560</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0</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Orgona u. Halottasház</w:t>
            </w:r>
          </w:p>
        </w:tc>
        <w:tc>
          <w:tcPr>
            <w:tcW w:w="1313" w:type="dxa"/>
            <w:tcBorders>
              <w:top w:val="single" w:sz="4" w:space="0" w:color="auto"/>
              <w:left w:val="nil"/>
              <w:bottom w:val="single" w:sz="4" w:space="0" w:color="auto"/>
              <w:right w:val="single" w:sz="4" w:space="0" w:color="auto"/>
            </w:tcBorders>
            <w:vAlign w:val="bottom"/>
          </w:tcPr>
          <w:p w:rsidR="00671B34" w:rsidRDefault="00671B34" w:rsidP="002E3837">
            <w:pPr>
              <w:jc w:val="right"/>
              <w:rPr>
                <w:rFonts w:cs="Calibri"/>
                <w:color w:val="000000"/>
              </w:rPr>
            </w:pPr>
            <w:r>
              <w:rPr>
                <w:rFonts w:cs="Calibri"/>
                <w:color w:val="000000"/>
              </w:rPr>
              <w:t>538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538</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Default="00671B34" w:rsidP="002E3837">
            <w:pPr>
              <w:jc w:val="right"/>
              <w:rPr>
                <w:rFonts w:cs="Calibri"/>
                <w:color w:val="000000"/>
              </w:rPr>
            </w:pPr>
            <w:r>
              <w:rPr>
                <w:rFonts w:cs="Calibri"/>
                <w:color w:val="000000"/>
              </w:rPr>
              <w:t>229 576</w:t>
            </w:r>
          </w:p>
        </w:tc>
        <w:tc>
          <w:tcPr>
            <w:tcW w:w="1417" w:type="dxa"/>
            <w:tcBorders>
              <w:top w:val="nil"/>
              <w:left w:val="nil"/>
              <w:bottom w:val="single" w:sz="4" w:space="0" w:color="auto"/>
              <w:right w:val="single" w:sz="4" w:space="0" w:color="auto"/>
            </w:tcBorders>
          </w:tcPr>
          <w:p w:rsidR="00671B34" w:rsidRDefault="00671B34" w:rsidP="002E3837">
            <w:pPr>
              <w:jc w:val="right"/>
              <w:rPr>
                <w:rFonts w:cs="Calibri"/>
                <w:color w:val="000000"/>
              </w:rPr>
            </w:pPr>
            <w:r>
              <w:rPr>
                <w:rFonts w:cs="Calibri"/>
                <w:color w:val="000000"/>
              </w:rPr>
              <w:t>0</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Pr>
                <w:rFonts w:eastAsia="Times New Roman" w:cs="Calibri"/>
                <w:color w:val="000000"/>
                <w:lang w:eastAsia="hu-HU"/>
              </w:rPr>
              <w:t>Szent László út 500 hrsz.</w:t>
            </w:r>
          </w:p>
        </w:tc>
        <w:tc>
          <w:tcPr>
            <w:tcW w:w="1313" w:type="dxa"/>
            <w:tcBorders>
              <w:top w:val="single" w:sz="4" w:space="0" w:color="auto"/>
              <w:left w:val="nil"/>
              <w:bottom w:val="single" w:sz="4" w:space="0" w:color="auto"/>
              <w:right w:val="single" w:sz="4" w:space="0" w:color="auto"/>
            </w:tcBorders>
            <w:vAlign w:val="bottom"/>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995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995</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424 586</w:t>
            </w:r>
          </w:p>
        </w:tc>
        <w:tc>
          <w:tcPr>
            <w:tcW w:w="1417" w:type="dxa"/>
            <w:tcBorders>
              <w:top w:val="nil"/>
              <w:left w:val="nil"/>
              <w:bottom w:val="single" w:sz="4" w:space="0" w:color="auto"/>
              <w:right w:val="single" w:sz="4" w:space="0" w:color="auto"/>
            </w:tcBorders>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0</w:t>
            </w: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 </w:t>
            </w:r>
          </w:p>
        </w:tc>
        <w:tc>
          <w:tcPr>
            <w:tcW w:w="1313" w:type="dxa"/>
            <w:tcBorders>
              <w:top w:val="single" w:sz="4" w:space="0" w:color="auto"/>
              <w:left w:val="nil"/>
              <w:bottom w:val="single" w:sz="4" w:space="0" w:color="auto"/>
              <w:right w:val="single" w:sz="4" w:space="0" w:color="auto"/>
            </w:tcBorders>
            <w:vAlign w:val="bottom"/>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 </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 </w:t>
            </w:r>
          </w:p>
        </w:tc>
        <w:tc>
          <w:tcPr>
            <w:tcW w:w="1417" w:type="dxa"/>
            <w:tcBorders>
              <w:top w:val="nil"/>
              <w:left w:val="nil"/>
              <w:bottom w:val="single" w:sz="4" w:space="0" w:color="auto"/>
              <w:right w:val="single" w:sz="4" w:space="0" w:color="auto"/>
            </w:tcBorders>
          </w:tcPr>
          <w:p w:rsidR="00671B34" w:rsidRPr="008D1AD8" w:rsidRDefault="00671B34" w:rsidP="002E3837">
            <w:pPr>
              <w:suppressAutoHyphens w:val="0"/>
              <w:spacing w:after="0" w:line="240" w:lineRule="auto"/>
              <w:rPr>
                <w:rFonts w:eastAsia="Times New Roman" w:cs="Calibri"/>
                <w:color w:val="000000"/>
                <w:lang w:eastAsia="hu-HU"/>
              </w:rPr>
            </w:pPr>
          </w:p>
        </w:tc>
      </w:tr>
      <w:tr w:rsidR="00671B34" w:rsidRPr="008D1AD8" w:rsidTr="002E3837">
        <w:trPr>
          <w:trHeight w:hRule="exact" w:val="284"/>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rPr>
                <w:rFonts w:eastAsia="Times New Roman" w:cs="Calibri"/>
                <w:color w:val="000000"/>
                <w:lang w:eastAsia="hu-HU"/>
              </w:rPr>
            </w:pPr>
            <w:r w:rsidRPr="008D1AD8">
              <w:rPr>
                <w:rFonts w:eastAsia="Times New Roman" w:cs="Calibri"/>
                <w:color w:val="000000"/>
                <w:lang w:eastAsia="hu-HU"/>
              </w:rPr>
              <w:t>Összesen</w:t>
            </w:r>
          </w:p>
        </w:tc>
        <w:tc>
          <w:tcPr>
            <w:tcW w:w="1313" w:type="dxa"/>
            <w:tcBorders>
              <w:top w:val="single" w:sz="4" w:space="0" w:color="auto"/>
              <w:left w:val="nil"/>
              <w:bottom w:val="single" w:sz="4" w:space="0" w:color="auto"/>
              <w:right w:val="single" w:sz="4" w:space="0" w:color="auto"/>
            </w:tcBorders>
            <w:vAlign w:val="bottom"/>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9 979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9 979</w:t>
            </w:r>
          </w:p>
        </w:tc>
        <w:tc>
          <w:tcPr>
            <w:tcW w:w="1417" w:type="dxa"/>
            <w:tcBorders>
              <w:top w:val="nil"/>
              <w:left w:val="nil"/>
              <w:bottom w:val="single" w:sz="4" w:space="0" w:color="auto"/>
              <w:right w:val="single" w:sz="4" w:space="0" w:color="auto"/>
            </w:tcBorders>
            <w:shd w:val="clear" w:color="auto" w:fill="auto"/>
            <w:noWrap/>
            <w:vAlign w:val="bottom"/>
            <w:hideMark/>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7 838 249</w:t>
            </w:r>
          </w:p>
        </w:tc>
        <w:tc>
          <w:tcPr>
            <w:tcW w:w="1417" w:type="dxa"/>
            <w:tcBorders>
              <w:top w:val="nil"/>
              <w:left w:val="nil"/>
              <w:bottom w:val="single" w:sz="4" w:space="0" w:color="auto"/>
              <w:right w:val="single" w:sz="4" w:space="0" w:color="auto"/>
            </w:tcBorders>
          </w:tcPr>
          <w:p w:rsidR="00671B34" w:rsidRPr="008D1AD8" w:rsidRDefault="00671B34" w:rsidP="002E3837">
            <w:pPr>
              <w:suppressAutoHyphens w:val="0"/>
              <w:spacing w:after="0" w:line="240" w:lineRule="auto"/>
              <w:jc w:val="right"/>
              <w:rPr>
                <w:rFonts w:eastAsia="Times New Roman" w:cs="Calibri"/>
                <w:color w:val="000000"/>
                <w:lang w:eastAsia="hu-HU"/>
              </w:rPr>
            </w:pPr>
            <w:r>
              <w:rPr>
                <w:rFonts w:eastAsia="Times New Roman" w:cs="Calibri"/>
                <w:color w:val="000000"/>
                <w:lang w:eastAsia="hu-HU"/>
              </w:rPr>
              <w:t>4 166 535</w:t>
            </w:r>
          </w:p>
        </w:tc>
      </w:tr>
    </w:tbl>
    <w:p w:rsidR="00671B34" w:rsidRPr="00576B79" w:rsidRDefault="00671B34" w:rsidP="00671B34">
      <w:pPr>
        <w:tabs>
          <w:tab w:val="left" w:pos="3420"/>
        </w:tabs>
        <w:spacing w:after="0" w:line="240" w:lineRule="auto"/>
        <w:jc w:val="both"/>
        <w:rPr>
          <w:rFonts w:ascii="Arial Narrow" w:hAnsi="Arial Narrow" w:cs="Arial"/>
        </w:rPr>
      </w:pPr>
      <w:r w:rsidRPr="00576B79">
        <w:rPr>
          <w:rFonts w:ascii="Arial Narrow" w:hAnsi="Arial Narrow" w:cs="Arial"/>
        </w:rPr>
        <w:t>*lakossági díjszabással</w:t>
      </w:r>
    </w:p>
    <w:p w:rsidR="00671B34" w:rsidRDefault="00671B34" w:rsidP="00671B34">
      <w:pPr>
        <w:tabs>
          <w:tab w:val="left" w:pos="3420"/>
        </w:tabs>
        <w:spacing w:after="0" w:line="240" w:lineRule="auto"/>
        <w:jc w:val="both"/>
        <w:rPr>
          <w:rFonts w:ascii="Arial" w:hAnsi="Arial"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pPr>
      <w:r w:rsidRPr="00AC4D80">
        <w:rPr>
          <w:rFonts w:ascii="Arial Narrow" w:hAnsi="Arial Narrow" w:cs="Arial"/>
          <w:sz w:val="24"/>
          <w:szCs w:val="24"/>
        </w:rPr>
        <w:t xml:space="preserve">A legnagyobb fogyasztó a Brunszvik Teréz Óvoda. Az intézményben 3 mosógéppel történik a mosás (asztalterítők, kötények, függönyök évente kétszer, plüss állatok...), a konyhában kettő mosogatógép működik, emellett van kézi mosogatás is. A gyerekek a napi háromszori étkezés előtt és után kezet mosnak, wc-t használnak, délben fogat mosnak. A füvet rendszeresen, mindennap locsolták </w:t>
      </w:r>
      <w:r>
        <w:rPr>
          <w:rFonts w:ascii="Arial Narrow" w:hAnsi="Arial Narrow" w:cs="Arial"/>
          <w:sz w:val="24"/>
          <w:szCs w:val="24"/>
        </w:rPr>
        <w:t>2017.</w:t>
      </w:r>
      <w:r w:rsidRPr="00AC4D80">
        <w:rPr>
          <w:rFonts w:ascii="Arial Narrow" w:hAnsi="Arial Narrow" w:cs="Arial"/>
          <w:sz w:val="24"/>
          <w:szCs w:val="24"/>
        </w:rPr>
        <w:t xml:space="preserve"> </w:t>
      </w:r>
      <w:r>
        <w:rPr>
          <w:rFonts w:ascii="Arial Narrow" w:hAnsi="Arial Narrow" w:cs="Arial"/>
          <w:sz w:val="24"/>
          <w:szCs w:val="24"/>
        </w:rPr>
        <w:t xml:space="preserve">év </w:t>
      </w:r>
      <w:r w:rsidRPr="00AC4D80">
        <w:rPr>
          <w:rFonts w:ascii="Arial Narrow" w:hAnsi="Arial Narrow" w:cs="Arial"/>
          <w:sz w:val="24"/>
          <w:szCs w:val="24"/>
        </w:rPr>
        <w:t>ny</w:t>
      </w:r>
      <w:r>
        <w:rPr>
          <w:rFonts w:ascii="Arial Narrow" w:hAnsi="Arial Narrow" w:cs="Arial"/>
          <w:sz w:val="24"/>
          <w:szCs w:val="24"/>
        </w:rPr>
        <w:t>ar</w:t>
      </w:r>
      <w:r w:rsidRPr="00AC4D80">
        <w:rPr>
          <w:rFonts w:ascii="Arial Narrow" w:hAnsi="Arial Narrow" w:cs="Arial"/>
          <w:sz w:val="24"/>
          <w:szCs w:val="24"/>
        </w:rPr>
        <w:t xml:space="preserve">án, locsolják a virágokat (minden ablakban van virág, veteményeskert, tó melletti virágok), a nyári élet </w:t>
      </w:r>
      <w:r>
        <w:rPr>
          <w:rFonts w:ascii="Arial Narrow" w:hAnsi="Arial Narrow" w:cs="Arial"/>
          <w:sz w:val="24"/>
          <w:szCs w:val="24"/>
        </w:rPr>
        <w:t xml:space="preserve">(június, július) </w:t>
      </w:r>
      <w:r w:rsidRPr="00AC4D80">
        <w:rPr>
          <w:rFonts w:ascii="Arial Narrow" w:hAnsi="Arial Narrow" w:cs="Arial"/>
          <w:sz w:val="24"/>
          <w:szCs w:val="24"/>
        </w:rPr>
        <w:t>alatt az "esőztetőben" fürdetik a gyerekeket,</w:t>
      </w:r>
      <w:r>
        <w:rPr>
          <w:rFonts w:ascii="Arial Narrow" w:hAnsi="Arial Narrow" w:cs="Arial"/>
          <w:sz w:val="24"/>
          <w:szCs w:val="24"/>
        </w:rPr>
        <w:t xml:space="preserve"> nyáron</w:t>
      </w:r>
      <w:r w:rsidRPr="00AC4D80">
        <w:rPr>
          <w:rFonts w:ascii="Arial Narrow" w:hAnsi="Arial Narrow" w:cs="Arial"/>
          <w:sz w:val="24"/>
          <w:szCs w:val="24"/>
        </w:rPr>
        <w:t xml:space="preserve"> használnak vizet játék</w:t>
      </w:r>
      <w:r>
        <w:rPr>
          <w:rFonts w:ascii="Arial Narrow" w:hAnsi="Arial Narrow" w:cs="Arial"/>
          <w:sz w:val="24"/>
          <w:szCs w:val="24"/>
        </w:rPr>
        <w:t>ok</w:t>
      </w:r>
      <w:r w:rsidRPr="00AC4D80">
        <w:rPr>
          <w:rFonts w:ascii="Arial Narrow" w:hAnsi="Arial Narrow" w:cs="Arial"/>
          <w:sz w:val="24"/>
          <w:szCs w:val="24"/>
        </w:rPr>
        <w:t>hoz is.</w:t>
      </w:r>
      <w:r>
        <w:rPr>
          <w:rFonts w:ascii="Arial Narrow" w:hAnsi="Arial Narrow" w:cs="Arial"/>
          <w:sz w:val="24"/>
          <w:szCs w:val="24"/>
        </w:rPr>
        <w:t xml:space="preserve"> A szolgáltatótól a locsoláshoz almérőt rendeltünk, melyet beépített. A második legnagyobb felhasználó az általános iskola, ahol noha létszámban többen vannak, a fogyasztásuk fajlagosan jóval kevesebb, hiszen itt a gyerekek mosdóhasználata jóval ritkább, nincsenek folyamatosan működő mosó-, és mosogatógépek, nem locsolják az udvart, nyáron az intézmény üres. A kiugró fogyasztás érték oka az, hogy a leolvasási rendszer hibája miatt nem érkezett számla 2016. 09. 12. óta, így a sportcsarnok építés, tűzivíz tározó feltöltés, rendszer mosatás költségei 2017. évet terhelték. A sporttelepen az év közben elindult locsolórendszer vízigénye okozott fogyasztás növekedést. A negyedik-ötödik helyen a szintén jelentős higiénés elvárásokat támasztó gyermekorvosi és fogorvosi szolgálat áll.</w:t>
      </w:r>
    </w:p>
    <w:p w:rsidR="00671B34" w:rsidRDefault="00671B34" w:rsidP="00671B34">
      <w:pPr>
        <w:tabs>
          <w:tab w:val="left" w:pos="3420"/>
        </w:tabs>
        <w:spacing w:after="0" w:line="240" w:lineRule="auto"/>
        <w:jc w:val="both"/>
        <w:rPr>
          <w:rFonts w:ascii="Arial Narrow" w:hAnsi="Arial Narrow" w:cs="Arial"/>
          <w:sz w:val="24"/>
          <w:szCs w:val="24"/>
        </w:rPr>
      </w:pPr>
      <w:r>
        <w:rPr>
          <w:rFonts w:ascii="Arial Narrow" w:hAnsi="Arial Narrow" w:cs="Arial"/>
          <w:sz w:val="24"/>
          <w:szCs w:val="24"/>
        </w:rPr>
        <w:t xml:space="preserve">Vastagon kiemeltek azon fogyasztási helyek, melyek 2017. évben kerültek csatorna számlázás alá. Ennek következtében a Sportközpont és a főtér locsolóvize is csatornával lett elszámolva, melyen változtatni kell. A rendszert át kell alakítani, mellékmérőket kell beépíteni. Az Emlékezés terén csak kis átbocsájtási képességű </w:t>
      </w:r>
      <w:r>
        <w:rPr>
          <w:rFonts w:ascii="Arial Narrow" w:hAnsi="Arial Narrow" w:cs="Arial"/>
          <w:sz w:val="24"/>
          <w:szCs w:val="24"/>
        </w:rPr>
        <w:lastRenderedPageBreak/>
        <w:t>almérő építhető be, mely locsolásra korlátozottan alkalmas. A megoldás a locsoló automatika beépítésével, a tér felbontásával egyidejűleg lehetséges. Tekintettel az egyre csapadékszegényebb időjárásra és az ápolt felületeink növekvő méretére, a locsolási vízszükséglet a jövőben még erősebben növekszik. Nem odázható tovább egy saját tulajdonú kutak fúrását és üzemeltetését kialakító program, amely lehetővé teszi, hogy hálózati víz függőségünk csökkenjen, középtávon pedig megtérülő beruházással szolgáljuk ki az Emlékezés tere-Beethoven út zöldterületét, a Tóth Iván Sportcsarnok-Szent László út parkját, illetve a Vásártérről a köztemetőt és onnan tartályban szállítva a város többi közterületét.</w:t>
      </w: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sectPr w:rsidR="00671B34" w:rsidSect="00782BBC">
          <w:pgSz w:w="11906" w:h="16838"/>
          <w:pgMar w:top="993" w:right="991" w:bottom="1134" w:left="1134" w:header="708" w:footer="708" w:gutter="0"/>
          <w:cols w:space="708"/>
          <w:docGrid w:linePitch="360"/>
        </w:sectPr>
      </w:pPr>
    </w:p>
    <w:p w:rsidR="00671B34" w:rsidRDefault="00671B34" w:rsidP="00671B34">
      <w:pPr>
        <w:tabs>
          <w:tab w:val="left" w:pos="3420"/>
        </w:tabs>
        <w:spacing w:after="0" w:line="240" w:lineRule="auto"/>
        <w:jc w:val="both"/>
        <w:rPr>
          <w:rFonts w:ascii="Arial Narrow" w:hAnsi="Arial Narrow" w:cs="Arial"/>
          <w:sz w:val="24"/>
          <w:szCs w:val="24"/>
        </w:rPr>
      </w:pPr>
      <w:r>
        <w:rPr>
          <w:rFonts w:ascii="Arial Narrow" w:hAnsi="Arial Narrow" w:cs="Arial"/>
          <w:noProof/>
          <w:sz w:val="24"/>
          <w:szCs w:val="24"/>
          <w:lang w:eastAsia="hu-HU"/>
        </w:rPr>
        <w:lastRenderedPageBreak/>
        <w:drawing>
          <wp:inline distT="0" distB="0" distL="0" distR="0" wp14:anchorId="6B086340" wp14:editId="3BD47700">
            <wp:extent cx="9505434" cy="5310231"/>
            <wp:effectExtent l="19050" t="0" r="516" b="0"/>
            <wp:docPr id="37"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9510395" cy="5313003"/>
                    </a:xfrm>
                    <a:prstGeom prst="rect">
                      <a:avLst/>
                    </a:prstGeom>
                    <a:noFill/>
                  </pic:spPr>
                </pic:pic>
              </a:graphicData>
            </a:graphic>
          </wp:inline>
        </w:drawing>
      </w: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pPr>
      <w:r>
        <w:rPr>
          <w:rFonts w:ascii="Arial Narrow" w:hAnsi="Arial Narrow" w:cs="Arial"/>
          <w:noProof/>
          <w:sz w:val="24"/>
          <w:szCs w:val="24"/>
          <w:lang w:eastAsia="hu-HU"/>
        </w:rPr>
        <w:lastRenderedPageBreak/>
        <w:drawing>
          <wp:inline distT="0" distB="0" distL="0" distR="0" wp14:anchorId="60E61271" wp14:editId="755E51EA">
            <wp:extent cx="9583217" cy="4110605"/>
            <wp:effectExtent l="19050" t="0" r="0" b="0"/>
            <wp:docPr id="27"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9589770" cy="4113416"/>
                    </a:xfrm>
                    <a:prstGeom prst="rect">
                      <a:avLst/>
                    </a:prstGeom>
                    <a:noFill/>
                  </pic:spPr>
                </pic:pic>
              </a:graphicData>
            </a:graphic>
          </wp:inline>
        </w:drawing>
      </w: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sectPr w:rsidR="00671B34" w:rsidSect="00550FA8">
          <w:pgSz w:w="16838" w:h="11906" w:orient="landscape"/>
          <w:pgMar w:top="1134" w:right="993" w:bottom="991" w:left="1134" w:header="708" w:footer="708" w:gutter="0"/>
          <w:cols w:space="708"/>
          <w:docGrid w:linePitch="360"/>
        </w:sectPr>
      </w:pP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b/>
          <w:sz w:val="24"/>
          <w:szCs w:val="24"/>
        </w:rPr>
      </w:pPr>
      <w:r>
        <w:rPr>
          <w:rFonts w:ascii="Arial Narrow" w:hAnsi="Arial Narrow" w:cs="Arial"/>
          <w:b/>
          <w:sz w:val="24"/>
          <w:szCs w:val="24"/>
        </w:rPr>
        <w:t>Összefoglalás</w:t>
      </w:r>
    </w:p>
    <w:p w:rsidR="00671B34" w:rsidRDefault="00671B34" w:rsidP="00671B34">
      <w:pPr>
        <w:tabs>
          <w:tab w:val="left" w:pos="3420"/>
        </w:tabs>
        <w:spacing w:after="0" w:line="240" w:lineRule="auto"/>
        <w:jc w:val="both"/>
        <w:rPr>
          <w:rFonts w:ascii="Arial Narrow" w:hAnsi="Arial Narrow" w:cs="Arial"/>
          <w:b/>
          <w:sz w:val="24"/>
          <w:szCs w:val="24"/>
        </w:rPr>
      </w:pPr>
    </w:p>
    <w:p w:rsidR="00671B34" w:rsidRDefault="00671B34" w:rsidP="00671B34">
      <w:pPr>
        <w:tabs>
          <w:tab w:val="left" w:pos="3420"/>
        </w:tabs>
        <w:spacing w:after="0" w:line="240" w:lineRule="auto"/>
        <w:jc w:val="both"/>
        <w:rPr>
          <w:rFonts w:ascii="Arial Narrow" w:hAnsi="Arial Narrow" w:cs="Arial"/>
          <w:sz w:val="24"/>
          <w:szCs w:val="24"/>
        </w:rPr>
      </w:pPr>
      <w:r>
        <w:rPr>
          <w:rFonts w:ascii="Arial Narrow" w:hAnsi="Arial Narrow" w:cs="Arial"/>
          <w:sz w:val="24"/>
          <w:szCs w:val="24"/>
        </w:rPr>
        <w:t xml:space="preserve"> Összesenjében a leolvasott áramfogyasztás 16%-al, a gázfogyasztás 10%-al, a víz+csatornahasználat 66%-al nőtt 2016. évről 2017. évre. A város ingatlanjainak 2017. évi rezsi költsége (villanyáram+földgáz+víz és csatorna számlák) 64 574 443,-Ft, amely a 2016. évben 49 978 605,-Ft volt. Az áramszolgáltatóval történő egyeztetés után már a valós, korábbinál jóval magasabb fogyasztás értékek jelentek meg a közvilágítás számlákon. A mintegy 29%-os díjemelkedésben az említett főtéri vízfogyasztás egyszeri rendezése is jelentős tétel. Az átadott és használatba vett új épületek, beköltözések, megváltozott funkciók, fogyasztási szokások mellett az előre nem tervezhető időjárási viszonyok, komfortérzetnél alacsonyabb, illetve magasabb hőmérsékletű napok száma is szerepet játszik. Az év folyamán, sokszori egyeztetéssel sikerült rendezni a szerződéseinket (pl. BBKK villanyáram E.ON, közvilágítás E.ON), továbbá bekerültek fogyasztási helyeink a szolgáltató diktálós rendszerébe, így az érkező számlák már hasonló értékeket mutatnak, mint az általunk havonta leolvasott fogyasztási mennyiségekből kiszámolható értékek. 2017. évben az éves fogyasztási szintek meghatározásában is előreléptünk, így az érkező részszámlák utáni elszámoláskor nem jelentkeznek kiugró értékek. Tovább kell azonban lépnünk és az új (pl. NKM) és régi (pl. E.ON) szereplőkkel kijavíttatni a nyilvántartási rendszereikben keletkező helytelen információkat.</w:t>
      </w: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sectPr w:rsidR="00671B34" w:rsidSect="00782BBC">
          <w:pgSz w:w="11906" w:h="16838"/>
          <w:pgMar w:top="993" w:right="991" w:bottom="1134" w:left="1134" w:header="708" w:footer="708" w:gutter="0"/>
          <w:cols w:space="708"/>
          <w:docGrid w:linePitch="360"/>
        </w:sectPr>
      </w:pPr>
    </w:p>
    <w:p w:rsidR="00671B34" w:rsidRDefault="00671B34" w:rsidP="00671B34">
      <w:pPr>
        <w:tabs>
          <w:tab w:val="left" w:pos="3420"/>
        </w:tabs>
        <w:spacing w:after="0" w:line="240" w:lineRule="auto"/>
        <w:jc w:val="both"/>
        <w:rPr>
          <w:rFonts w:ascii="Arial Narrow" w:hAnsi="Arial Narrow" w:cs="Arial"/>
          <w:sz w:val="24"/>
          <w:szCs w:val="24"/>
        </w:rPr>
      </w:pPr>
      <w:r>
        <w:rPr>
          <w:rFonts w:ascii="Arial Narrow" w:hAnsi="Arial Narrow" w:cs="Arial"/>
          <w:noProof/>
          <w:sz w:val="24"/>
          <w:szCs w:val="24"/>
          <w:lang w:eastAsia="hu-HU"/>
        </w:rPr>
        <w:lastRenderedPageBreak/>
        <w:drawing>
          <wp:inline distT="0" distB="0" distL="0" distR="0" wp14:anchorId="3E79682E" wp14:editId="529E9563">
            <wp:extent cx="5257800" cy="2579903"/>
            <wp:effectExtent l="0" t="0" r="0" b="0"/>
            <wp:docPr id="33"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268233" cy="2585022"/>
                    </a:xfrm>
                    <a:prstGeom prst="rect">
                      <a:avLst/>
                    </a:prstGeom>
                    <a:noFill/>
                  </pic:spPr>
                </pic:pic>
              </a:graphicData>
            </a:graphic>
          </wp:inline>
        </w:drawing>
      </w: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pPr>
    </w:p>
    <w:p w:rsidR="00671B34" w:rsidRDefault="00671B34" w:rsidP="00671B34">
      <w:pPr>
        <w:tabs>
          <w:tab w:val="left" w:pos="3420"/>
        </w:tabs>
        <w:spacing w:after="0" w:line="240" w:lineRule="auto"/>
        <w:jc w:val="both"/>
        <w:rPr>
          <w:rFonts w:ascii="Arial Narrow" w:hAnsi="Arial Narrow" w:cs="Arial"/>
          <w:sz w:val="24"/>
          <w:szCs w:val="24"/>
        </w:rPr>
      </w:pPr>
      <w:r>
        <w:rPr>
          <w:rFonts w:ascii="Arial Narrow" w:hAnsi="Arial Narrow" w:cs="Arial"/>
          <w:noProof/>
          <w:sz w:val="24"/>
          <w:szCs w:val="24"/>
          <w:lang w:eastAsia="hu-HU"/>
        </w:rPr>
        <w:drawing>
          <wp:inline distT="0" distB="0" distL="0" distR="0" wp14:anchorId="28D5C74A" wp14:editId="2C4B30EF">
            <wp:extent cx="5295900" cy="2400199"/>
            <wp:effectExtent l="0" t="0" r="0" b="0"/>
            <wp:docPr id="4"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365169" cy="2431593"/>
                    </a:xfrm>
                    <a:prstGeom prst="rect">
                      <a:avLst/>
                    </a:prstGeom>
                    <a:noFill/>
                  </pic:spPr>
                </pic:pic>
              </a:graphicData>
            </a:graphic>
          </wp:inline>
        </w:drawing>
      </w:r>
    </w:p>
    <w:p w:rsidR="00671B34" w:rsidRPr="00372CA0" w:rsidRDefault="00671B34" w:rsidP="00671B34">
      <w:pPr>
        <w:tabs>
          <w:tab w:val="left" w:pos="3420"/>
        </w:tabs>
        <w:spacing w:after="0" w:line="240" w:lineRule="auto"/>
        <w:ind w:left="4395"/>
        <w:rPr>
          <w:rFonts w:ascii="Arial Narrow" w:hAnsi="Arial Narrow" w:cs="Arial"/>
          <w:sz w:val="24"/>
          <w:szCs w:val="24"/>
        </w:rPr>
      </w:pPr>
    </w:p>
    <w:p w:rsidR="00671B34" w:rsidRDefault="00671B34" w:rsidP="00671B34">
      <w:pPr>
        <w:suppressAutoHyphens w:val="0"/>
        <w:spacing w:after="0" w:line="240" w:lineRule="auto"/>
      </w:pPr>
    </w:p>
    <w:p w:rsidR="00671B34" w:rsidRPr="00044AA2" w:rsidRDefault="00671B34" w:rsidP="00671B34"/>
    <w:p w:rsidR="00671B34" w:rsidRPr="00207F4D" w:rsidRDefault="00671B34" w:rsidP="00671B34"/>
    <w:p w:rsidR="00E24016" w:rsidRDefault="00E24016">
      <w:bookmarkStart w:id="0" w:name="_GoBack"/>
      <w:bookmarkEnd w:id="0"/>
    </w:p>
    <w:sectPr w:rsidR="00E24016" w:rsidSect="00782BBC">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8" w:rsidRDefault="00671B34" w:rsidP="00F61F7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50FA8" w:rsidRDefault="00671B34" w:rsidP="00F61F7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8" w:rsidRDefault="00671B34" w:rsidP="00F61F79">
    <w:pPr>
      <w:pStyle w:val="llb"/>
      <w:pBdr>
        <w:top w:val="single" w:sz="4" w:space="1" w:color="auto"/>
      </w:pBdr>
      <w:ind w:right="360"/>
      <w:jc w:val="center"/>
      <w:rPr>
        <w:b/>
        <w:sz w:val="16"/>
        <w:szCs w:val="16"/>
      </w:rPr>
    </w:pPr>
    <w:r w:rsidRPr="00F94E49">
      <w:rPr>
        <w:b/>
        <w:sz w:val="16"/>
        <w:szCs w:val="16"/>
      </w:rPr>
      <w:fldChar w:fldCharType="begin"/>
    </w:r>
    <w:r w:rsidRPr="00F94E49">
      <w:rPr>
        <w:sz w:val="16"/>
        <w:szCs w:val="16"/>
      </w:rPr>
      <w:instrText xml:space="preserve"> PAGE </w:instrText>
    </w:r>
    <w:r w:rsidRPr="00F94E49">
      <w:rPr>
        <w:b/>
        <w:sz w:val="16"/>
        <w:szCs w:val="16"/>
      </w:rPr>
      <w:fldChar w:fldCharType="separate"/>
    </w:r>
    <w:r>
      <w:rPr>
        <w:noProof/>
        <w:sz w:val="16"/>
        <w:szCs w:val="16"/>
      </w:rPr>
      <w:t>3</w:t>
    </w:r>
    <w:r w:rsidRPr="00F94E49">
      <w:rPr>
        <w:b/>
        <w:sz w:val="16"/>
        <w:szCs w:val="16"/>
      </w:rPr>
      <w:fldChar w:fldCharType="end"/>
    </w:r>
    <w:r w:rsidRPr="00F94E49">
      <w:rPr>
        <w:sz w:val="16"/>
        <w:szCs w:val="16"/>
      </w:rPr>
      <w:t xml:space="preserve">. oldal, összesen: </w:t>
    </w:r>
    <w:r w:rsidRPr="00F94E49">
      <w:rPr>
        <w:b/>
        <w:sz w:val="16"/>
        <w:szCs w:val="16"/>
      </w:rPr>
      <w:fldChar w:fldCharType="begin"/>
    </w:r>
    <w:r w:rsidRPr="00F94E49">
      <w:rPr>
        <w:sz w:val="16"/>
        <w:szCs w:val="16"/>
      </w:rPr>
      <w:instrText xml:space="preserve"> NUMPAGES </w:instrText>
    </w:r>
    <w:r w:rsidRPr="00F94E49">
      <w:rPr>
        <w:b/>
        <w:sz w:val="16"/>
        <w:szCs w:val="16"/>
      </w:rPr>
      <w:fldChar w:fldCharType="separate"/>
    </w:r>
    <w:r>
      <w:rPr>
        <w:noProof/>
        <w:sz w:val="16"/>
        <w:szCs w:val="16"/>
      </w:rPr>
      <w:t>17</w:t>
    </w:r>
    <w:r w:rsidRPr="00F94E49">
      <w:rPr>
        <w:b/>
        <w:sz w:val="16"/>
        <w:szCs w:val="16"/>
      </w:rPr>
      <w:fldChar w:fldCharType="end"/>
    </w:r>
  </w:p>
  <w:p w:rsidR="00550FA8" w:rsidRPr="00F94E49" w:rsidRDefault="00671B34" w:rsidP="00F61F79">
    <w:pPr>
      <w:pStyle w:val="llb"/>
      <w:pBdr>
        <w:top w:val="single" w:sz="4" w:space="1" w:color="auto"/>
      </w:pBdr>
      <w:ind w:right="360"/>
      <w:jc w:val="center"/>
      <w:rPr>
        <w:b/>
        <w:sz w:val="16"/>
        <w:szCs w:val="16"/>
      </w:rPr>
    </w:pP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8" w:rsidRDefault="00671B34" w:rsidP="00F61F7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50FA8" w:rsidRDefault="00671B34" w:rsidP="00F61F79">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8" w:rsidRPr="00550FA8" w:rsidRDefault="00671B34" w:rsidP="00F61F79">
    <w:pPr>
      <w:pStyle w:val="llb"/>
      <w:pBdr>
        <w:top w:val="single" w:sz="4" w:space="1" w:color="auto"/>
      </w:pBdr>
      <w:ind w:right="360"/>
      <w:jc w:val="center"/>
      <w:rPr>
        <w:b/>
      </w:rPr>
    </w:pPr>
    <w:r>
      <w:fldChar w:fldCharType="begin"/>
    </w:r>
    <w:r>
      <w:instrText xml:space="preserve"> PAGE </w:instrText>
    </w:r>
    <w:r>
      <w:fldChar w:fldCharType="separate"/>
    </w:r>
    <w:r>
      <w:rPr>
        <w:noProof/>
      </w:rPr>
      <w:t>15</w:t>
    </w:r>
    <w:r>
      <w:rPr>
        <w:noProof/>
      </w:rPr>
      <w:fldChar w:fldCharType="end"/>
    </w:r>
    <w:r w:rsidRPr="00550FA8">
      <w:t>. oldal</w:t>
    </w:r>
  </w:p>
  <w:p w:rsidR="00550FA8" w:rsidRPr="00F94E49" w:rsidRDefault="00671B34" w:rsidP="00F61F79">
    <w:pPr>
      <w:pStyle w:val="llb"/>
      <w:pBdr>
        <w:top w:val="single" w:sz="4" w:space="1" w:color="auto"/>
      </w:pBdr>
      <w:ind w:right="360"/>
      <w:jc w:val="center"/>
      <w:rPr>
        <w:b/>
        <w:sz w:val="16"/>
        <w:szCs w:val="16"/>
      </w:rPr>
    </w:pPr>
    <w:r>
      <w:rPr>
        <w:sz w:val="16"/>
        <w:szCs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8" w:rsidRPr="00F94E49" w:rsidRDefault="00671B34" w:rsidP="00F61F79">
    <w:pPr>
      <w:rPr>
        <w:b/>
        <w:sz w:val="20"/>
        <w:szCs w:val="20"/>
      </w:rPr>
    </w:pPr>
    <w:r>
      <w:rPr>
        <w:sz w:val="20"/>
        <w:szCs w:val="20"/>
      </w:rPr>
      <w:t>Beszámoló az</w:t>
    </w:r>
    <w:r w:rsidRPr="00F01982">
      <w:rPr>
        <w:bCs/>
        <w:sz w:val="20"/>
        <w:szCs w:val="20"/>
      </w:rPr>
      <w:t xml:space="preserve"> önkormányzati energiafelhasználás 201</w:t>
    </w:r>
    <w:r>
      <w:rPr>
        <w:bCs/>
        <w:sz w:val="20"/>
        <w:szCs w:val="20"/>
      </w:rPr>
      <w:t>7</w:t>
    </w:r>
    <w:r w:rsidRPr="00F01982">
      <w:rPr>
        <w:bCs/>
        <w:sz w:val="20"/>
        <w:szCs w:val="20"/>
      </w:rPr>
      <w:t>. évi alakulásáról</w:t>
    </w:r>
    <w:r>
      <w:rPr>
        <w:bCs/>
        <w:sz w:val="20"/>
        <w:szCs w:val="20"/>
      </w:rPr>
      <w:t xml:space="preserve">                                     </w:t>
    </w:r>
    <w:r>
      <w:rPr>
        <w:sz w:val="20"/>
        <w:szCs w:val="20"/>
      </w:rPr>
      <w:t xml:space="preserve"> </w:t>
    </w:r>
    <w:r w:rsidRPr="00F94E49">
      <w:rPr>
        <w:sz w:val="20"/>
        <w:szCs w:val="20"/>
      </w:rPr>
      <w:t>201</w:t>
    </w:r>
    <w:r>
      <w:rPr>
        <w:sz w:val="20"/>
        <w:szCs w:val="20"/>
      </w:rPr>
      <w:t>8</w:t>
    </w:r>
    <w:r w:rsidRPr="00F94E49">
      <w:rPr>
        <w:sz w:val="20"/>
        <w:szCs w:val="20"/>
      </w:rPr>
      <w:t xml:space="preserve">. </w:t>
    </w:r>
    <w:r>
      <w:rPr>
        <w:sz w:val="20"/>
        <w:szCs w:val="20"/>
      </w:rPr>
      <w:t xml:space="preserve">február 13. </w:t>
    </w:r>
  </w:p>
  <w:p w:rsidR="00550FA8" w:rsidRDefault="00671B34" w:rsidP="00F61F7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8" w:rsidRPr="00F94E49" w:rsidRDefault="00671B34" w:rsidP="00F61F79">
    <w:pPr>
      <w:rPr>
        <w:b/>
        <w:sz w:val="20"/>
        <w:szCs w:val="20"/>
      </w:rPr>
    </w:pPr>
  </w:p>
  <w:p w:rsidR="00550FA8" w:rsidRDefault="00671B34" w:rsidP="00F61F7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40F99"/>
    <w:multiLevelType w:val="hybridMultilevel"/>
    <w:tmpl w:val="8FC868B6"/>
    <w:lvl w:ilvl="0" w:tplc="49D4B0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34"/>
    <w:rsid w:val="00671B34"/>
    <w:rsid w:val="00E24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39781-3F23-4CF8-BC24-65A13B1B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1B34"/>
    <w:pPr>
      <w:suppressAutoHyphens/>
      <w:spacing w:after="200" w:line="276" w:lineRule="auto"/>
    </w:pPr>
    <w:rPr>
      <w:rFonts w:ascii="Calibri" w:eastAsia="Calibri" w:hAnsi="Calibri" w:cs="Times New Roman"/>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71B34"/>
    <w:pPr>
      <w:tabs>
        <w:tab w:val="center" w:pos="4536"/>
        <w:tab w:val="right" w:pos="9072"/>
      </w:tabs>
    </w:pPr>
  </w:style>
  <w:style w:type="character" w:customStyle="1" w:styleId="llbChar">
    <w:name w:val="Élőláb Char"/>
    <w:basedOn w:val="Bekezdsalapbettpusa"/>
    <w:link w:val="llb"/>
    <w:rsid w:val="00671B34"/>
    <w:rPr>
      <w:rFonts w:ascii="Calibri" w:eastAsia="Calibri" w:hAnsi="Calibri" w:cs="Times New Roman"/>
      <w:lang w:eastAsia="ar-SA"/>
    </w:rPr>
  </w:style>
  <w:style w:type="character" w:styleId="Oldalszm">
    <w:name w:val="page number"/>
    <w:rsid w:val="00671B34"/>
  </w:style>
  <w:style w:type="paragraph" w:styleId="lfej">
    <w:name w:val="header"/>
    <w:basedOn w:val="Norml"/>
    <w:link w:val="lfejChar"/>
    <w:uiPriority w:val="99"/>
    <w:rsid w:val="00671B34"/>
    <w:pPr>
      <w:tabs>
        <w:tab w:val="center" w:pos="4536"/>
        <w:tab w:val="right" w:pos="9072"/>
      </w:tabs>
      <w:suppressAutoHyphens w:val="0"/>
      <w:spacing w:after="0" w:line="240" w:lineRule="auto"/>
    </w:pPr>
    <w:rPr>
      <w:rFonts w:ascii="Times New Roman" w:eastAsia="Times New Roman" w:hAnsi="Times New Roman"/>
      <w:b/>
      <w:color w:val="000000"/>
      <w:kern w:val="16"/>
      <w:sz w:val="24"/>
      <w:szCs w:val="24"/>
      <w:lang w:eastAsia="en-US"/>
    </w:rPr>
  </w:style>
  <w:style w:type="character" w:customStyle="1" w:styleId="lfejChar">
    <w:name w:val="Élőfej Char"/>
    <w:basedOn w:val="Bekezdsalapbettpusa"/>
    <w:link w:val="lfej"/>
    <w:uiPriority w:val="99"/>
    <w:rsid w:val="00671B34"/>
    <w:rPr>
      <w:rFonts w:ascii="Times New Roman" w:eastAsia="Times New Roman" w:hAnsi="Times New Roman" w:cs="Times New Roman"/>
      <w:b/>
      <w:color w:val="000000"/>
      <w:kern w:val="16"/>
      <w:sz w:val="24"/>
      <w:szCs w:val="24"/>
    </w:rPr>
  </w:style>
  <w:style w:type="paragraph" w:styleId="Listaszerbekezds">
    <w:name w:val="List Paragraph"/>
    <w:basedOn w:val="Norml"/>
    <w:uiPriority w:val="34"/>
    <w:qFormat/>
    <w:rsid w:val="00671B34"/>
    <w:pPr>
      <w:suppressAutoHyphens w:val="0"/>
      <w:spacing w:after="0" w:line="240" w:lineRule="auto"/>
      <w:ind w:left="720"/>
      <w:contextualSpacing/>
    </w:pPr>
    <w:rPr>
      <w:rFonts w:ascii="Times New Roman" w:eastAsia="Times New Roman" w:hAnsi="Times New Roman"/>
      <w:b/>
      <w:color w:val="000000"/>
      <w:kern w:val="1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image" Target="media/image5.png"/><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1658</Words>
  <Characters>11444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2018-07-12T09:35:00Z</dcterms:created>
  <dcterms:modified xsi:type="dcterms:W3CDTF">2018-07-12T09:35:00Z</dcterms:modified>
</cp:coreProperties>
</file>