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AF" w:rsidRDefault="00275BAF" w:rsidP="00275BA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171</w:t>
      </w:r>
      <w:r w:rsidRPr="00E212CF">
        <w:rPr>
          <w:rFonts w:ascii="Times New Roman" w:hAnsi="Times New Roman"/>
          <w:b/>
          <w:sz w:val="24"/>
          <w:szCs w:val="24"/>
        </w:rPr>
        <w:t xml:space="preserve">/2018. (IX.25.) határozat </w:t>
      </w:r>
      <w:r>
        <w:rPr>
          <w:rFonts w:ascii="Times New Roman" w:hAnsi="Times New Roman"/>
          <w:b/>
          <w:sz w:val="24"/>
          <w:szCs w:val="24"/>
        </w:rPr>
        <w:t>2</w:t>
      </w:r>
      <w:r w:rsidRPr="00E212CF">
        <w:rPr>
          <w:rFonts w:ascii="Times New Roman" w:hAnsi="Times New Roman"/>
          <w:b/>
          <w:sz w:val="24"/>
          <w:szCs w:val="24"/>
        </w:rPr>
        <w:t>. melléklete:</w:t>
      </w:r>
    </w:p>
    <w:p w:rsidR="00275BAF" w:rsidRDefault="00275BAF" w:rsidP="00275BA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>INTÉZKEDÉSI TERV</w:t>
      </w:r>
      <w:bookmarkStart w:id="0" w:name="_Toc346118400"/>
      <w:bookmarkEnd w:id="0"/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</w:p>
    <w:p w:rsidR="00275BAF" w:rsidRPr="0072598C" w:rsidRDefault="00275BAF" w:rsidP="00275BA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>– MartonSport Nonprofit Kft.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ügyvezetésének tett javaslatok </w:t>
      </w:r>
      <w:r w:rsidRPr="0072598C">
        <w:rPr>
          <w:rFonts w:ascii="Times New Roman" w:eastAsia="Times New Roman" w:hAnsi="Times New Roman"/>
          <w:b/>
          <w:sz w:val="24"/>
          <w:szCs w:val="24"/>
          <w:lang w:eastAsia="hu-HU"/>
        </w:rPr>
        <w:t>–</w:t>
      </w:r>
    </w:p>
    <w:p w:rsidR="00275BAF" w:rsidRDefault="00275BAF" w:rsidP="00275BA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2598C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„Az önkormányzatok többségi tulajdonában lévő gazdasági társaságok gazdálkodásának ellenőrzése - MartonSport Nonprofit Korlátolt Felelősségű Társaság</w:t>
      </w:r>
      <w:r w:rsidRPr="0072598C">
        <w:rPr>
          <w:rFonts w:ascii="Times New Roman" w:hAnsi="Times New Roman"/>
          <w:b/>
          <w:bCs/>
          <w:sz w:val="24"/>
          <w:szCs w:val="24"/>
        </w:rPr>
        <w:t>” tárgyú ÁSZ ellenőrzéshez</w:t>
      </w:r>
    </w:p>
    <w:p w:rsidR="00275BAF" w:rsidRPr="0072598C" w:rsidRDefault="00275BAF" w:rsidP="00275BA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86"/>
        <w:gridCol w:w="3445"/>
        <w:gridCol w:w="3239"/>
        <w:gridCol w:w="1396"/>
        <w:gridCol w:w="1292"/>
        <w:gridCol w:w="1989"/>
      </w:tblGrid>
      <w:tr w:rsidR="00275BAF" w:rsidRPr="0072598C" w:rsidTr="002658AF">
        <w:trPr>
          <w:trHeight w:val="876"/>
          <w:jc w:val="center"/>
        </w:trPr>
        <w:tc>
          <w:tcPr>
            <w:tcW w:w="421" w:type="dxa"/>
            <w:shd w:val="clear" w:color="auto" w:fill="800080"/>
          </w:tcPr>
          <w:p w:rsidR="00275BAF" w:rsidRPr="0072598C" w:rsidRDefault="00275BAF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86" w:type="dxa"/>
            <w:shd w:val="clear" w:color="auto" w:fill="800080"/>
            <w:vAlign w:val="center"/>
          </w:tcPr>
          <w:p w:rsidR="00275BAF" w:rsidRPr="0072598C" w:rsidRDefault="00275BAF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ÁSZ Megállapítás</w:t>
            </w:r>
          </w:p>
        </w:tc>
        <w:tc>
          <w:tcPr>
            <w:tcW w:w="3445" w:type="dxa"/>
            <w:shd w:val="clear" w:color="auto" w:fill="800080"/>
            <w:vAlign w:val="center"/>
          </w:tcPr>
          <w:p w:rsidR="00275BAF" w:rsidRPr="0072598C" w:rsidRDefault="00275BAF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ÁSZ Javaslat</w:t>
            </w:r>
          </w:p>
        </w:tc>
        <w:tc>
          <w:tcPr>
            <w:tcW w:w="3239" w:type="dxa"/>
            <w:shd w:val="clear" w:color="auto" w:fill="800080"/>
            <w:vAlign w:val="center"/>
          </w:tcPr>
          <w:p w:rsidR="00275BAF" w:rsidRPr="0072598C" w:rsidRDefault="00275BAF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Intézkedés</w:t>
            </w:r>
          </w:p>
        </w:tc>
        <w:tc>
          <w:tcPr>
            <w:tcW w:w="1396" w:type="dxa"/>
            <w:shd w:val="clear" w:color="auto" w:fill="800080"/>
            <w:vAlign w:val="center"/>
          </w:tcPr>
          <w:p w:rsidR="00275BAF" w:rsidRPr="0072598C" w:rsidRDefault="00275BAF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Határidő</w:t>
            </w:r>
          </w:p>
        </w:tc>
        <w:tc>
          <w:tcPr>
            <w:tcW w:w="1292" w:type="dxa"/>
            <w:shd w:val="clear" w:color="auto" w:fill="800080"/>
            <w:vAlign w:val="center"/>
          </w:tcPr>
          <w:p w:rsidR="00275BAF" w:rsidRPr="0072598C" w:rsidRDefault="00275BAF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Felelős</w:t>
            </w:r>
          </w:p>
        </w:tc>
        <w:tc>
          <w:tcPr>
            <w:tcW w:w="1989" w:type="dxa"/>
            <w:shd w:val="clear" w:color="auto" w:fill="800080"/>
            <w:vAlign w:val="center"/>
          </w:tcPr>
          <w:p w:rsidR="00275BAF" w:rsidRPr="0072598C" w:rsidRDefault="00275BAF" w:rsidP="002658AF">
            <w:pPr>
              <w:suppressAutoHyphens/>
              <w:autoSpaceDN w:val="0"/>
              <w:jc w:val="center"/>
              <w:textAlignment w:val="baseline"/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</w:pPr>
            <w:r w:rsidRPr="0072598C">
              <w:rPr>
                <w:rFonts w:ascii="Times New Roman" w:eastAsia="PMingLiU" w:hAnsi="Times New Roman"/>
                <w:b/>
                <w:sz w:val="24"/>
                <w:szCs w:val="24"/>
                <w:lang w:eastAsia="hu-HU"/>
              </w:rPr>
              <w:t>Megjegyzés</w:t>
            </w:r>
          </w:p>
        </w:tc>
      </w:tr>
      <w:tr w:rsidR="00275BAF" w:rsidRPr="00974CBC" w:rsidTr="002658AF">
        <w:trPr>
          <w:jc w:val="center"/>
        </w:trPr>
        <w:tc>
          <w:tcPr>
            <w:tcW w:w="421" w:type="dxa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74CBC">
              <w:rPr>
                <w:rFonts w:ascii="Times New Roman" w:hAnsi="Times New Roman"/>
                <w:iCs/>
                <w:sz w:val="20"/>
                <w:szCs w:val="20"/>
              </w:rPr>
              <w:t>1.</w:t>
            </w:r>
          </w:p>
        </w:tc>
        <w:tc>
          <w:tcPr>
            <w:tcW w:w="3586" w:type="dxa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74CBC">
              <w:rPr>
                <w:rFonts w:ascii="Times New Roman" w:hAnsi="Times New Roman"/>
                <w:iCs/>
                <w:sz w:val="20"/>
                <w:szCs w:val="20"/>
              </w:rPr>
              <w:t xml:space="preserve">a./ A Társaság a Leltározási szabályzatban a Számv. tv. 69. § (3) bekezdés előírásai ellenére nem határozta meg a leltározás gyakoriságának időszakát. 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74CBC">
              <w:rPr>
                <w:rFonts w:ascii="Times New Roman" w:hAnsi="Times New Roman"/>
                <w:iCs/>
                <w:sz w:val="20"/>
                <w:szCs w:val="20"/>
              </w:rPr>
              <w:t>b./ A Pénzkezelési szabályzatban a Társaság a Számv. tv 14. § (8) bekezdésében előírtak ellenére nem rendelkezett a készpénzállományt érintő pénzmozgások eljárási rendjéről.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c./ A Társaság 2016. október 11-től közhasznú jogállású volt, a Számlarend 2016. október 11-től nem felelt meg a Számv. tv. 161. § (2) bekezdés a)-b) pontjaiban előírtaknak, mivel nem tartalmazta minden alkalmazásra kijelölt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számla számjelét és megnevezését, a számla tartalmát, továbbá a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számla értéke növekedésének, csökkenésének jogcímeit, a számlát érintő gazdasági eseményeket, azok más számlákkal való kapcsolatát.</w:t>
            </w:r>
          </w:p>
        </w:tc>
        <w:tc>
          <w:tcPr>
            <w:tcW w:w="3445" w:type="dxa"/>
            <w:shd w:val="clear" w:color="auto" w:fill="auto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iCs/>
                <w:sz w:val="20"/>
                <w:szCs w:val="20"/>
              </w:rPr>
              <w:t>Intézkedjen a számviteli szabályzatok Számv. tv. előírásainak megfelelő módosításáról</w:t>
            </w:r>
            <w:r w:rsidRPr="00974C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a./ A leltározási szabályzat kiegészítése megtörtént.  A szabályzat a leltározási gyakoriságot „évenként” írja elő. További intézkedést nem igényel.</w:t>
            </w:r>
          </w:p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 xml:space="preserve">b./ A pénzkezelési szabályzat módosításra került: 3.6. pontja kiegészítésre, átfogalmazásra került. </w:t>
            </w:r>
          </w:p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c./ A könyvelőprogramban egyértelműen a Számviteli törvénynek megfelelően történik a számlakezelés, az ÁSZ vizsgálat a számlarend vonatkozásában időben csak a 2016. január 1-ei állapotra terjedt ki, teljes képet a 2016-os év esetén a 2016. október 11. utáni állapot bekérése adott volna, mely alapján további intézkedés nem szükséges.</w:t>
            </w:r>
          </w:p>
        </w:tc>
        <w:tc>
          <w:tcPr>
            <w:tcW w:w="1396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Teljesítve</w:t>
            </w:r>
          </w:p>
        </w:tc>
        <w:tc>
          <w:tcPr>
            <w:tcW w:w="1292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ügyvezető</w:t>
            </w:r>
          </w:p>
        </w:tc>
        <w:tc>
          <w:tcPr>
            <w:tcW w:w="1989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</w:p>
        </w:tc>
      </w:tr>
      <w:tr w:rsidR="00275BAF" w:rsidRPr="00974CBC" w:rsidTr="002658AF">
        <w:trPr>
          <w:jc w:val="center"/>
        </w:trPr>
        <w:tc>
          <w:tcPr>
            <w:tcW w:w="421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3586" w:type="dxa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2014. évben a Számv. tv. 153. § (1) és 154. § (1) bekezdésében előírtak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 xml:space="preserve">ellenére nem az alapító által elfogadott egyszerűsített éves beszámolót tette közzé és helyezte letétbe, a 2014. évi egyszerűsített éves beszámoló aláírására a </w:t>
            </w: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lastRenderedPageBreak/>
              <w:t>letétbe helyezés és a közzététel után került sor.</w:t>
            </w:r>
          </w:p>
        </w:tc>
        <w:tc>
          <w:tcPr>
            <w:tcW w:w="3445" w:type="dxa"/>
            <w:shd w:val="clear" w:color="auto" w:fill="auto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lastRenderedPageBreak/>
              <w:t>Intézkedjen az egyszerűsített éves beszámoló Számv. tv. előírásainak</w:t>
            </w:r>
          </w:p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megfelelő közzétételéről és letétbe helyezéséről.</w:t>
            </w:r>
          </w:p>
        </w:tc>
        <w:tc>
          <w:tcPr>
            <w:tcW w:w="3239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 xml:space="preserve">A társaság 2015-től kezdődően a számviteli tv.-nek megfelelően helyezi letétbe a beszámolókat, melyre nézve a letétbe helyezést végző könyvelő írásbeli utasítást kapott az észrevétel betartására. </w:t>
            </w:r>
          </w:p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További intézkedést nem igényel.</w:t>
            </w:r>
          </w:p>
        </w:tc>
        <w:tc>
          <w:tcPr>
            <w:tcW w:w="1396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2014-es hiány</w:t>
            </w:r>
          </w:p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2015-től teljesítve</w:t>
            </w:r>
          </w:p>
        </w:tc>
        <w:tc>
          <w:tcPr>
            <w:tcW w:w="1292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ügyvezető</w:t>
            </w:r>
          </w:p>
        </w:tc>
        <w:tc>
          <w:tcPr>
            <w:tcW w:w="1989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 xml:space="preserve">2014-ben történt hiányt (alapítói elfogadó határozat nem került csatolásra) az Igazságügyi Minisztérium rendszerében utólag </w:t>
            </w:r>
            <w:r w:rsidRPr="00974CBC">
              <w:rPr>
                <w:rFonts w:ascii="Times New Roman" w:hAnsi="Times New Roman"/>
                <w:sz w:val="20"/>
                <w:szCs w:val="20"/>
              </w:rPr>
              <w:lastRenderedPageBreak/>
              <w:t>módosítani nem lehetséges.</w:t>
            </w:r>
          </w:p>
        </w:tc>
      </w:tr>
      <w:tr w:rsidR="00275BAF" w:rsidRPr="00974CBC" w:rsidTr="002658AF">
        <w:trPr>
          <w:jc w:val="center"/>
        </w:trPr>
        <w:tc>
          <w:tcPr>
            <w:tcW w:w="421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lastRenderedPageBreak/>
              <w:t>3.</w:t>
            </w:r>
          </w:p>
        </w:tc>
        <w:tc>
          <w:tcPr>
            <w:tcW w:w="3586" w:type="dxa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A Társaság az Info tv. 37. § (1) bekezdésben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és az 1. mellékletében szereplő általános közzétételi listában meghatározott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adatok közül a II. Tevékenységre, működésre vonatkozó adatok 5. pontjában előírt, a közfeladatot ellátó szerv által nyújtott vagy költségvetéséből finanszírozott közszolgáltatások megnevezését, tartalmát, a közszolgáltatások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igénybevételének rendjét, a közszolgáltatásért fizetendő díj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mértékét, az abból adott kedvezményeket, a II.13. pontja alapján a közérdekű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adatok megismerésére irányuló igények intézésének rendjét, az illetékes szervezeti egység nevét, elérhetőségét, III. Gazdálkodási adatok 2.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pontja szerinti a közfeladatot ellátó szervnél foglalkoztatottak létszámára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és személyi juttatásaira vonatkozó összesített adatokat, illetve összesítve a vezetők és vezető tisztségviselők költségtérítésére, az egyéb alkalmazottaknak nyújtott juttatások fajtájára és mértékére vonatkozó adatok közzétételének a honlapján nem tett eleget.</w:t>
            </w:r>
          </w:p>
        </w:tc>
        <w:tc>
          <w:tcPr>
            <w:tcW w:w="3445" w:type="dxa"/>
            <w:shd w:val="clear" w:color="auto" w:fill="auto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Intézkedjen a közzétételi kötelezettségének teljesítéséről az Info tv. előírásainak megfelelően.</w:t>
            </w:r>
          </w:p>
        </w:tc>
        <w:tc>
          <w:tcPr>
            <w:tcW w:w="3239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CBC">
              <w:rPr>
                <w:rFonts w:ascii="Times New Roman" w:hAnsi="Times New Roman"/>
                <w:b/>
                <w:sz w:val="20"/>
                <w:szCs w:val="20"/>
              </w:rPr>
              <w:t>A még hiányzó közérdekű adatok meghatározásáról, pontos megfogalmazásáról és a társaság honlapján való feltüntetéséről a jogszabályoknak megfelelően gondoskodni kell!</w:t>
            </w:r>
          </w:p>
        </w:tc>
        <w:tc>
          <w:tcPr>
            <w:tcW w:w="1396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  <w:t xml:space="preserve">2018. 09.30. </w:t>
            </w:r>
          </w:p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292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  <w:t>ügyvezető</w:t>
            </w:r>
          </w:p>
        </w:tc>
        <w:tc>
          <w:tcPr>
            <w:tcW w:w="1989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Korábban a honlapunkon nem teljes körűen kerültek feltüntetésre a közérdekű adatok. (Pl. Éves beszámoló)</w:t>
            </w:r>
          </w:p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</w:p>
        </w:tc>
      </w:tr>
      <w:tr w:rsidR="00275BAF" w:rsidRPr="00974CBC" w:rsidTr="002658AF">
        <w:trPr>
          <w:jc w:val="center"/>
        </w:trPr>
        <w:tc>
          <w:tcPr>
            <w:tcW w:w="421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3586" w:type="dxa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A Számv. tv. 167. § (1) bekezdés h) pont előírásai ellenére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a könyvviteli elszámolást közvetlenül alátámasztó bizonylatok nem,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vagy nem megfelelően tartalmazták a könyvelés módjára, az érintett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könyvviteli számlákra történő hivatkozást.</w:t>
            </w:r>
          </w:p>
        </w:tc>
        <w:tc>
          <w:tcPr>
            <w:tcW w:w="3445" w:type="dxa"/>
            <w:shd w:val="clear" w:color="auto" w:fill="auto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Intézkedjen a bevételek és a ráfordítások Számv. tv előírásainak megfelelő elszámolása érdekében.</w:t>
            </w:r>
          </w:p>
        </w:tc>
        <w:tc>
          <w:tcPr>
            <w:tcW w:w="3239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A számlákkal kapcsolatban megfogalmazott észrevétel intézkedést nem igényel, mert a számviteli törvény szabályainak megfelelően történt és történik a feldolgozás, téves adatszolgáltatás alapján nem a végleges számlakép került ellenőrzésre, intézkedés nem szükséges.</w:t>
            </w:r>
          </w:p>
        </w:tc>
        <w:tc>
          <w:tcPr>
            <w:tcW w:w="1396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Teljesítve</w:t>
            </w:r>
          </w:p>
        </w:tc>
        <w:tc>
          <w:tcPr>
            <w:tcW w:w="1292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ügyvezető</w:t>
            </w:r>
          </w:p>
        </w:tc>
        <w:tc>
          <w:tcPr>
            <w:tcW w:w="1989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A vizsgálat során – egy félreértésből adódóan – az ÁSZ nem a véglegesített formájú számlákat ellenőrizte.</w:t>
            </w:r>
          </w:p>
        </w:tc>
      </w:tr>
      <w:tr w:rsidR="00275BAF" w:rsidRPr="00974CBC" w:rsidTr="002658AF">
        <w:trPr>
          <w:jc w:val="center"/>
        </w:trPr>
        <w:tc>
          <w:tcPr>
            <w:tcW w:w="421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lastRenderedPageBreak/>
              <w:t>5.</w:t>
            </w:r>
          </w:p>
        </w:tc>
        <w:tc>
          <w:tcPr>
            <w:tcW w:w="3586" w:type="dxa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A személyi jellegű ráfordítások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elszámolásánál a Számv. tv. 165. § (1)-(2) bekezdése előírásai ellenére a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gazdasági esemény számviteli elszámolását (nyilvántartását) számviteli bizonylattal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– megbízási, illetve munkaszerződéssel, teljesítésigazolással,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vagy a számfejtés alapját képező fizetési jegyzékkel – nem minden esetben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támasztották alá.</w:t>
            </w:r>
          </w:p>
        </w:tc>
        <w:tc>
          <w:tcPr>
            <w:tcW w:w="3445" w:type="dxa"/>
            <w:shd w:val="clear" w:color="auto" w:fill="auto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Intézkedjen a személyi jellegű ráfordítások Számv. tv. előírásainak</w:t>
            </w:r>
          </w:p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megfelelő elszámolása érdekében.</w:t>
            </w:r>
          </w:p>
        </w:tc>
        <w:tc>
          <w:tcPr>
            <w:tcW w:w="3239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A személyi jellegű ráfordítások kifizetésével foglalkozó kollégák figyelmét fel kell hívni az Sztv. 165 par. (1) és (2) bekezdésének betartására!</w:t>
            </w:r>
          </w:p>
        </w:tc>
        <w:tc>
          <w:tcPr>
            <w:tcW w:w="1396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Teljesítve</w:t>
            </w:r>
          </w:p>
        </w:tc>
        <w:tc>
          <w:tcPr>
            <w:tcW w:w="1292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ügyvezető</w:t>
            </w:r>
          </w:p>
        </w:tc>
        <w:tc>
          <w:tcPr>
            <w:tcW w:w="1989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 xml:space="preserve">A jelentés szövegezése nem tartalmazza a korábbi pontos hiány leírását. </w:t>
            </w:r>
          </w:p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</w:p>
        </w:tc>
      </w:tr>
      <w:tr w:rsidR="00275BAF" w:rsidRPr="00974CBC" w:rsidTr="002658AF">
        <w:trPr>
          <w:jc w:val="center"/>
        </w:trPr>
        <w:tc>
          <w:tcPr>
            <w:tcW w:w="421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3586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AZ EGYES SZOLGÁLTATÁSOK DÍJAINAK megállapítása rendjét a Társaság nem szabályozta, a Közszolgáltatási keretszerződés IV.12. pontjában előírt, a közfeladat tekintetében a tevékenységre vonatkozó fajlagos költségeket nem határozta meg.</w:t>
            </w:r>
          </w:p>
        </w:tc>
        <w:tc>
          <w:tcPr>
            <w:tcW w:w="3445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Intézkedjen az egyes szolgáltatási díjak megállapítása rendjének szabályozásáról a Közszolgáltatási keretszerződésben foglaltaknak megfelelően.</w:t>
            </w:r>
          </w:p>
        </w:tc>
        <w:tc>
          <w:tcPr>
            <w:tcW w:w="3239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CBC">
              <w:rPr>
                <w:rFonts w:ascii="Times New Roman" w:hAnsi="Times New Roman"/>
                <w:b/>
                <w:sz w:val="20"/>
                <w:szCs w:val="20"/>
              </w:rPr>
              <w:t>A közfeladatokra vonatkozó szolgáltatási díjak megállapítását szabályzatba kell foglalni!</w:t>
            </w:r>
          </w:p>
        </w:tc>
        <w:tc>
          <w:tcPr>
            <w:tcW w:w="1396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  <w:t>2018.10.31.</w:t>
            </w:r>
          </w:p>
        </w:tc>
        <w:tc>
          <w:tcPr>
            <w:tcW w:w="1292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  <w:t>ügyvezető</w:t>
            </w:r>
          </w:p>
        </w:tc>
        <w:tc>
          <w:tcPr>
            <w:tcW w:w="1989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 xml:space="preserve">Bérleti díj táblázat nem elegendő, szabályzat szükséges </w:t>
            </w:r>
          </w:p>
        </w:tc>
      </w:tr>
      <w:tr w:rsidR="00275BAF" w:rsidRPr="00974CBC" w:rsidTr="002658AF">
        <w:trPr>
          <w:jc w:val="center"/>
        </w:trPr>
        <w:tc>
          <w:tcPr>
            <w:tcW w:w="421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3586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AZ EGYES SZOLGÁLTATÁSOK DÍJAINAK megállapítása rendjét a Társaság nem szabályozta, a IV.3. pontban előírtak ellenére az egyes szolgáltatások díjainak megállapításakor az egyes tevékenységek önköltségét nem határozta meg.</w:t>
            </w:r>
          </w:p>
        </w:tc>
        <w:tc>
          <w:tcPr>
            <w:tcW w:w="3445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Intézkedjen a közfeladat tekintetében a tevékenységre vonatkozó fajlagos költségek meghatározásáról a Közszolgáltatási szerződésben foglaltaknak megfelelően.</w:t>
            </w:r>
          </w:p>
        </w:tc>
        <w:tc>
          <w:tcPr>
            <w:tcW w:w="3239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4CBC">
              <w:rPr>
                <w:rFonts w:ascii="Times New Roman" w:hAnsi="Times New Roman"/>
                <w:b/>
                <w:sz w:val="20"/>
                <w:szCs w:val="20"/>
              </w:rPr>
              <w:t>A közfeladatokra vonatkozó önköltség számítás elkészítése szükséges!</w:t>
            </w:r>
          </w:p>
        </w:tc>
        <w:tc>
          <w:tcPr>
            <w:tcW w:w="1396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  <w:t>2018.10.31.</w:t>
            </w:r>
          </w:p>
        </w:tc>
        <w:tc>
          <w:tcPr>
            <w:tcW w:w="1292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b/>
                <w:sz w:val="20"/>
                <w:szCs w:val="20"/>
                <w:lang w:eastAsia="hu-HU"/>
              </w:rPr>
              <w:t>ügyvezető</w:t>
            </w:r>
          </w:p>
        </w:tc>
        <w:tc>
          <w:tcPr>
            <w:tcW w:w="1989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Önköltség számítás szabályzat megalkotására NEM vagyunk kötelezettek, de a bérleti díjak meghatározásának alátámasztására az önköltség számítást el kell végezni.</w:t>
            </w:r>
          </w:p>
        </w:tc>
      </w:tr>
      <w:tr w:rsidR="00275BAF" w:rsidRPr="00974CBC" w:rsidTr="002658AF">
        <w:trPr>
          <w:jc w:val="center"/>
        </w:trPr>
        <w:tc>
          <w:tcPr>
            <w:tcW w:w="421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3586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A Társaság egyszerűsített éves beszámolói nem feleltek meg a Számv. tv. 4. § (1)-(2) bekezdésének, nem nyújtottak valós képet a Társaság vagyonáról, mivel a mérleg tételeit a Számv. tv.-ben előírtaknak megfelelő leltárral nem támasztották alá.</w:t>
            </w:r>
          </w:p>
        </w:tc>
        <w:tc>
          <w:tcPr>
            <w:tcW w:w="3445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Intézkedjen az egyszerűsített éves beszámoló mérlegének Számv. tv.-ben előírtaknak megfelelő leltárral történő alátámasztásáról.</w:t>
            </w:r>
          </w:p>
        </w:tc>
        <w:tc>
          <w:tcPr>
            <w:tcW w:w="3239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A beszámoló elkészítéséért felelős a Társaság éves beszámolóit a jogszabályoknak megfelelően készítse el a jövőben, leltárral alátámasztva, melynek érdekében utasítani szükséges az érintett kollégát, illetőleg ellenőrizni a folyamatot, de jelenleg intézkedést nem igényel.</w:t>
            </w:r>
          </w:p>
        </w:tc>
        <w:tc>
          <w:tcPr>
            <w:tcW w:w="1396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Teljesítve</w:t>
            </w:r>
          </w:p>
        </w:tc>
        <w:tc>
          <w:tcPr>
            <w:tcW w:w="1292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ügyvezető</w:t>
            </w:r>
          </w:p>
        </w:tc>
        <w:tc>
          <w:tcPr>
            <w:tcW w:w="1989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Az első körös adatszolgálatásból kimaradt a leltári alátámasztás, holott rendelkeztünk vele. Összesítő leltár került elküldésre, nem a részletes.</w:t>
            </w:r>
          </w:p>
        </w:tc>
      </w:tr>
      <w:tr w:rsidR="00275BAF" w:rsidRPr="00974CBC" w:rsidTr="002658AF">
        <w:trPr>
          <w:jc w:val="center"/>
        </w:trPr>
        <w:tc>
          <w:tcPr>
            <w:tcW w:w="421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3586" w:type="dxa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>A Számv. tv. 69. § (3) bekezdésében foglaltak ellenére a Társaság a leltárba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t xml:space="preserve">bekerülő adatok valódiságáról – a leltár összeállítását megelőzően – leltározással nem győződött meg, és azt legalább </w:t>
            </w: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lastRenderedPageBreak/>
              <w:t>háromévente mennyiségi felvétellel, illetve minden üzleti év mérlegfordulónapjára vonatkozóan a csak értékben kimutatott eszközöknél és kötelezettségeknél egyeztetéssel nem végezte el.</w:t>
            </w:r>
          </w:p>
        </w:tc>
        <w:tc>
          <w:tcPr>
            <w:tcW w:w="3445" w:type="dxa"/>
            <w:shd w:val="clear" w:color="auto" w:fill="auto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Times New Roman" w:hAnsi="Times New Roman"/>
                <w:iCs/>
                <w:sz w:val="20"/>
                <w:szCs w:val="20"/>
                <w:lang w:eastAsia="hu-HU"/>
              </w:rPr>
              <w:lastRenderedPageBreak/>
              <w:t>Intézkedjen a leltározás Számv. tv.-ben előírtaknak megfelelő gyakorisággal történő végrehajtásáról.</w:t>
            </w:r>
          </w:p>
        </w:tc>
        <w:tc>
          <w:tcPr>
            <w:tcW w:w="3239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A szabályzatban is rögzített évenkénti leltárt el kell készíteni, melyre a felelős kollégákat fel kell hívni és melyet a jövőben ellenőrizni kell.</w:t>
            </w:r>
          </w:p>
        </w:tc>
        <w:tc>
          <w:tcPr>
            <w:tcW w:w="1396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Teljesítve, folyamatos</w:t>
            </w:r>
          </w:p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92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ügyvezető</w:t>
            </w:r>
          </w:p>
        </w:tc>
        <w:tc>
          <w:tcPr>
            <w:tcW w:w="1989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 xml:space="preserve">Az első körös adatszolgálatásból kimaradt a leltári alátámasztás, holott rendelkeztünk vele. </w:t>
            </w: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lastRenderedPageBreak/>
              <w:t>Összesítő leltár került elküldésre, nem a részletes.</w:t>
            </w:r>
          </w:p>
        </w:tc>
      </w:tr>
      <w:tr w:rsidR="00275BAF" w:rsidRPr="00974CBC" w:rsidTr="002658AF">
        <w:trPr>
          <w:jc w:val="center"/>
        </w:trPr>
        <w:tc>
          <w:tcPr>
            <w:tcW w:w="421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lastRenderedPageBreak/>
              <w:t>10.</w:t>
            </w:r>
          </w:p>
        </w:tc>
        <w:tc>
          <w:tcPr>
            <w:tcW w:w="3586" w:type="dxa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A SAJÁT VAGYON NYILVÁNTARTÁSA, AZ ÉRTÉKCSÖKKENÉS ELSZÁMOLÁSA nem volt szabályszerű. A bekerülési érték meghatározása nem a Számv. tv. 47. § (1) bekezdés és 47. § (4) bekezdés d) pont előírásainak megfelelően történt, mert a bekerülési érték meghatározása során a beruházások tervezési díjait, közvetlen költségeit a Társaság nem osztotta fel az egyes beruházások között. A Számv. tv. 26. § (1) és 52. § (2) bekezdés előírásai ellenére a tárgyi eszközök esetében azüzembe helyezést hitelt érdemlő módon nem dokumentálták.</w:t>
            </w:r>
          </w:p>
        </w:tc>
        <w:tc>
          <w:tcPr>
            <w:tcW w:w="3445" w:type="dxa"/>
            <w:shd w:val="clear" w:color="auto" w:fill="auto"/>
          </w:tcPr>
          <w:p w:rsidR="00275BAF" w:rsidRPr="00974CBC" w:rsidRDefault="00275BAF" w:rsidP="002658AF">
            <w:pPr>
              <w:autoSpaceDN w:val="0"/>
              <w:adjustRightInd w:val="0"/>
              <w:spacing w:after="0" w:line="240" w:lineRule="auto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Intézkedjen az értékcsökkenés Számv. tv. előírásainak megfelelő elszámolásáról a beruházások bekerülési értékének meghatározásával, valamint a tárgyi eszközök üzembe helyezésének hitelt érdemlő módon történő dokumentálásával.</w:t>
            </w:r>
          </w:p>
        </w:tc>
        <w:tc>
          <w:tcPr>
            <w:tcW w:w="3239" w:type="dxa"/>
            <w:shd w:val="clear" w:color="auto" w:fill="auto"/>
          </w:tcPr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974CBC">
              <w:rPr>
                <w:rFonts w:ascii="Times New Roman" w:hAnsi="Times New Roman"/>
                <w:iCs/>
                <w:sz w:val="20"/>
                <w:szCs w:val="20"/>
              </w:rPr>
              <w:t>A beruházások tervezési díja is felosztásra került a tárgyi eszközök esetében</w:t>
            </w:r>
            <w:r w:rsidRPr="00974CB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.</w:t>
            </w:r>
          </w:p>
          <w:p w:rsidR="00275BAF" w:rsidRPr="00974CBC" w:rsidRDefault="00275BAF" w:rsidP="002658AF">
            <w:pPr>
              <w:suppressAutoHyphens/>
              <w:spacing w:after="0" w:line="240" w:lineRule="auto"/>
              <w:ind w:left="45"/>
              <w:jc w:val="both"/>
              <w:textAlignment w:val="baseline"/>
              <w:rPr>
                <w:rFonts w:ascii="Times New Roman" w:eastAsia="PMingLiU" w:hAnsi="Times New Roman"/>
                <w:sz w:val="20"/>
                <w:szCs w:val="20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</w:rPr>
              <w:t>Féléves beszámoló már ennek megfelelően tartalmazza a tárgyi eszközök bekerülési értékét.</w:t>
            </w:r>
          </w:p>
          <w:p w:rsidR="00275BAF" w:rsidRPr="00974CBC" w:rsidRDefault="00275BAF" w:rsidP="002658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74CBC">
              <w:rPr>
                <w:rFonts w:ascii="Times New Roman" w:hAnsi="Times New Roman"/>
                <w:iCs/>
                <w:sz w:val="20"/>
                <w:szCs w:val="20"/>
              </w:rPr>
              <w:t>További intézkedést nem igényel.</w:t>
            </w:r>
          </w:p>
        </w:tc>
        <w:tc>
          <w:tcPr>
            <w:tcW w:w="1396" w:type="dxa"/>
            <w:shd w:val="clear" w:color="auto" w:fill="auto"/>
          </w:tcPr>
          <w:p w:rsidR="00275BAF" w:rsidRPr="00974CBC" w:rsidRDefault="00275BAF" w:rsidP="002658AF">
            <w:pPr>
              <w:suppressAutoHyphens/>
              <w:spacing w:after="0" w:line="240" w:lineRule="auto"/>
              <w:ind w:left="45"/>
              <w:jc w:val="both"/>
              <w:textAlignment w:val="baseline"/>
              <w:rPr>
                <w:rFonts w:ascii="Times New Roman" w:eastAsia="PMingLiU" w:hAnsi="Times New Roman"/>
                <w:sz w:val="20"/>
                <w:szCs w:val="20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</w:rPr>
              <w:t xml:space="preserve">Teljesítve </w:t>
            </w:r>
          </w:p>
        </w:tc>
        <w:tc>
          <w:tcPr>
            <w:tcW w:w="1292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ügyvezető</w:t>
            </w:r>
          </w:p>
        </w:tc>
        <w:tc>
          <w:tcPr>
            <w:tcW w:w="1989" w:type="dxa"/>
            <w:shd w:val="clear" w:color="auto" w:fill="auto"/>
          </w:tcPr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 xml:space="preserve">A tárgyi eszköz beruházások közül a parkoló építések tervezési díja korábban nem volt megbontva. </w:t>
            </w:r>
          </w:p>
          <w:p w:rsidR="00275BAF" w:rsidRPr="00974CBC" w:rsidRDefault="00275BAF" w:rsidP="002658A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PMingLiU" w:hAnsi="Times New Roman"/>
                <w:sz w:val="20"/>
                <w:szCs w:val="20"/>
                <w:lang w:eastAsia="hu-HU"/>
              </w:rPr>
            </w:pPr>
            <w:r w:rsidRPr="00974CBC">
              <w:rPr>
                <w:rFonts w:ascii="Times New Roman" w:eastAsia="PMingLiU" w:hAnsi="Times New Roman"/>
                <w:sz w:val="20"/>
                <w:szCs w:val="20"/>
                <w:lang w:eastAsia="hu-HU"/>
              </w:rPr>
              <w:t>A nem hitelt érdemlő dokumentálás tényét nem értjük, hiszen a használatba vételi engedélyek és az üzembe helyezési jegyzőkönyvek leadásra kerültek.</w:t>
            </w:r>
          </w:p>
        </w:tc>
      </w:tr>
    </w:tbl>
    <w:p w:rsidR="00275BAF" w:rsidRPr="00974CBC" w:rsidRDefault="00275BAF" w:rsidP="00275BA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0"/>
          <w:szCs w:val="20"/>
          <w:lang w:eastAsia="hu-HU"/>
        </w:rPr>
      </w:pPr>
      <w:bookmarkStart w:id="1" w:name="_Toc346118402"/>
      <w:bookmarkEnd w:id="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2"/>
        <w:gridCol w:w="4014"/>
        <w:gridCol w:w="3796"/>
      </w:tblGrid>
      <w:tr w:rsidR="00275BAF" w:rsidRPr="00974CBC" w:rsidTr="002658AF">
        <w:trPr>
          <w:jc w:val="center"/>
        </w:trPr>
        <w:tc>
          <w:tcPr>
            <w:tcW w:w="3982" w:type="dxa"/>
            <w:shd w:val="clear" w:color="auto" w:fill="7B7B7B"/>
            <w:vAlign w:val="center"/>
          </w:tcPr>
          <w:p w:rsidR="00275BAF" w:rsidRPr="00974CBC" w:rsidRDefault="00275BAF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Készítette:</w:t>
            </w:r>
          </w:p>
        </w:tc>
        <w:tc>
          <w:tcPr>
            <w:tcW w:w="4014" w:type="dxa"/>
            <w:shd w:val="clear" w:color="auto" w:fill="7B7B7B"/>
            <w:vAlign w:val="center"/>
          </w:tcPr>
          <w:p w:rsidR="00275BAF" w:rsidRPr="00974CBC" w:rsidRDefault="00275BAF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Jóváhagyta:</w:t>
            </w:r>
          </w:p>
        </w:tc>
        <w:tc>
          <w:tcPr>
            <w:tcW w:w="3796" w:type="dxa"/>
            <w:shd w:val="clear" w:color="auto" w:fill="7B7B7B"/>
          </w:tcPr>
          <w:p w:rsidR="00275BAF" w:rsidRPr="00974CBC" w:rsidRDefault="00275BAF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b/>
                <w:color w:val="FFFFFF"/>
                <w:sz w:val="20"/>
                <w:szCs w:val="20"/>
              </w:rPr>
              <w:t>Véleményezte:</w:t>
            </w:r>
          </w:p>
        </w:tc>
      </w:tr>
      <w:tr w:rsidR="00275BAF" w:rsidRPr="00974CBC" w:rsidTr="002658AF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275BAF" w:rsidRPr="00974CBC" w:rsidRDefault="00275BAF" w:rsidP="00265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Dátum: 2018.09.18.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275BAF" w:rsidRPr="00974CBC" w:rsidRDefault="00275BAF" w:rsidP="00265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Dátum: 2018. 09. 25. 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275BAF" w:rsidRPr="00974CBC" w:rsidRDefault="00275BAF" w:rsidP="002658A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 xml:space="preserve">Dátum: 2018.09.21. </w:t>
            </w:r>
          </w:p>
        </w:tc>
      </w:tr>
      <w:tr w:rsidR="00275BAF" w:rsidRPr="00974CBC" w:rsidTr="002658AF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275BAF" w:rsidRPr="00974CBC" w:rsidRDefault="00275BAF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4" w:type="dxa"/>
            <w:shd w:val="clear" w:color="auto" w:fill="auto"/>
            <w:vAlign w:val="center"/>
          </w:tcPr>
          <w:p w:rsidR="00275BAF" w:rsidRPr="00974CBC" w:rsidRDefault="00275BAF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171/2018. (IX.25.)</w:t>
            </w:r>
            <w:bookmarkStart w:id="2" w:name="_GoBack"/>
            <w:bookmarkEnd w:id="2"/>
          </w:p>
        </w:tc>
        <w:tc>
          <w:tcPr>
            <w:tcW w:w="3796" w:type="dxa"/>
            <w:shd w:val="clear" w:color="auto" w:fill="auto"/>
            <w:vAlign w:val="center"/>
          </w:tcPr>
          <w:p w:rsidR="00275BAF" w:rsidRPr="00974CBC" w:rsidRDefault="00275BAF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5BAF" w:rsidRPr="00974CBC" w:rsidTr="002658AF">
        <w:trPr>
          <w:jc w:val="center"/>
        </w:trPr>
        <w:tc>
          <w:tcPr>
            <w:tcW w:w="3982" w:type="dxa"/>
            <w:shd w:val="clear" w:color="auto" w:fill="auto"/>
            <w:vAlign w:val="center"/>
          </w:tcPr>
          <w:p w:rsidR="00275BAF" w:rsidRPr="00974CBC" w:rsidRDefault="00275BAF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Tóth Balázs - ügyvezető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275BAF" w:rsidRPr="00974CBC" w:rsidRDefault="00275BAF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 xml:space="preserve">Martonvásár Város Önkormányzatának </w:t>
            </w:r>
          </w:p>
          <w:p w:rsidR="00275BAF" w:rsidRPr="00974CBC" w:rsidRDefault="00275BAF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Képviselő-testülete</w:t>
            </w:r>
          </w:p>
        </w:tc>
        <w:tc>
          <w:tcPr>
            <w:tcW w:w="3796" w:type="dxa"/>
            <w:shd w:val="clear" w:color="auto" w:fill="auto"/>
            <w:vAlign w:val="center"/>
          </w:tcPr>
          <w:p w:rsidR="00275BAF" w:rsidRPr="00974CBC" w:rsidRDefault="00275BAF" w:rsidP="002658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CBC">
              <w:rPr>
                <w:rFonts w:ascii="Times New Roman" w:hAnsi="Times New Roman"/>
                <w:sz w:val="20"/>
                <w:szCs w:val="20"/>
              </w:rPr>
              <w:t>(FEB)</w:t>
            </w:r>
          </w:p>
        </w:tc>
      </w:tr>
    </w:tbl>
    <w:p w:rsidR="00275BAF" w:rsidRPr="00974CBC" w:rsidRDefault="00275BAF" w:rsidP="00275B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4CBC">
        <w:rPr>
          <w:rFonts w:ascii="Times New Roman" w:hAnsi="Times New Roman"/>
          <w:sz w:val="20"/>
          <w:szCs w:val="20"/>
        </w:rPr>
        <w:t xml:space="preserve"> </w:t>
      </w:r>
    </w:p>
    <w:p w:rsidR="005E6AAE" w:rsidRPr="00275BAF" w:rsidRDefault="005E6AAE" w:rsidP="00275BAF"/>
    <w:sectPr w:rsidR="005E6AAE" w:rsidRPr="00275BAF" w:rsidSect="00E212CF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A3695"/>
    <w:multiLevelType w:val="hybridMultilevel"/>
    <w:tmpl w:val="47B0B8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FB"/>
    <w:rsid w:val="00275BAF"/>
    <w:rsid w:val="005E5DFB"/>
    <w:rsid w:val="005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B63F8-6F3B-4F3E-84BF-2F09C19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5D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D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cp:lastPrinted>2018-09-26T07:04:00Z</cp:lastPrinted>
  <dcterms:created xsi:type="dcterms:W3CDTF">2018-09-26T07:04:00Z</dcterms:created>
  <dcterms:modified xsi:type="dcterms:W3CDTF">2018-09-26T07:04:00Z</dcterms:modified>
</cp:coreProperties>
</file>